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5AF6985D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427251">
        <w:rPr>
          <w:rFonts w:ascii="Arial" w:hAnsi="Arial" w:cs="Arial"/>
          <w:b/>
          <w:szCs w:val="28"/>
          <w:lang w:val="en-US"/>
        </w:rPr>
        <w:t>1</w:t>
      </w:r>
      <w:r w:rsidR="00522D42">
        <w:rPr>
          <w:rFonts w:ascii="Arial" w:hAnsi="Arial" w:cs="Arial"/>
          <w:b/>
          <w:szCs w:val="28"/>
          <w:lang w:val="en-US"/>
        </w:rPr>
        <w:t>-bis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20</w:t>
      </w:r>
      <w:r w:rsidR="0098506F">
        <w:rPr>
          <w:rFonts w:ascii="Arial" w:hAnsi="Arial" w:cs="Arial"/>
          <w:b/>
          <w:szCs w:val="28"/>
          <w:lang w:val="en-US"/>
        </w:rPr>
        <w:t>2019</w:t>
      </w:r>
    </w:p>
    <w:p w14:paraId="60407F1B" w14:textId="46E70CBE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A8488B">
        <w:rPr>
          <w:rFonts w:ascii="Arial" w:hAnsi="Arial" w:cs="Arial"/>
          <w:b/>
          <w:szCs w:val="28"/>
          <w:lang w:val="en-US"/>
        </w:rPr>
        <w:t xml:space="preserve">January 17-25,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64332D6E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22D42">
        <w:rPr>
          <w:rFonts w:ascii="Arial" w:hAnsi="Arial" w:cs="Arial"/>
          <w:bCs/>
          <w:sz w:val="22"/>
          <w:szCs w:val="22"/>
          <w:lang w:val="en-US"/>
        </w:rPr>
        <w:t>6</w:t>
      </w:r>
      <w:r w:rsidR="000266FE">
        <w:rPr>
          <w:rFonts w:ascii="Arial" w:hAnsi="Arial" w:cs="Arial"/>
          <w:bCs/>
          <w:sz w:val="22"/>
          <w:szCs w:val="22"/>
          <w:lang w:val="en-US"/>
        </w:rPr>
        <w:t>.17.3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8151AE5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522D42">
        <w:rPr>
          <w:rFonts w:ascii="Arial" w:hAnsi="Arial" w:cs="Arial"/>
          <w:sz w:val="22"/>
          <w:szCs w:val="22"/>
          <w:lang w:val="en-US"/>
        </w:rPr>
        <w:t>Further a</w:t>
      </w:r>
      <w:r w:rsidR="00954B96" w:rsidRPr="00D83109">
        <w:rPr>
          <w:rFonts w:ascii="Arial" w:hAnsi="Arial" w:cs="Arial"/>
          <w:sz w:val="22"/>
          <w:szCs w:val="22"/>
          <w:lang w:val="en-US"/>
        </w:rPr>
        <w:t>nalysis of RRM requirements for enhanced IAB</w:t>
      </w:r>
    </w:p>
    <w:p w14:paraId="37EAE97F" w14:textId="3778AEC4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2381305" w14:textId="11FFBFD7" w:rsidR="005C076B" w:rsidRDefault="00791C6F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A84D49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>meeting a WF on RRM requirements for IAB enhancement was approved</w:t>
      </w:r>
      <w:r w:rsidR="00A84D49">
        <w:rPr>
          <w:sz w:val="22"/>
          <w:szCs w:val="22"/>
          <w:lang w:val="en-US"/>
        </w:rPr>
        <w:t xml:space="preserve"> [1]. </w:t>
      </w:r>
    </w:p>
    <w:p w14:paraId="4BC9507D" w14:textId="7898A123" w:rsidR="007639E1" w:rsidRPr="003860F6" w:rsidRDefault="0065006A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analyze </w:t>
      </w:r>
      <w:r w:rsidR="00183017">
        <w:rPr>
          <w:sz w:val="22"/>
          <w:szCs w:val="22"/>
          <w:lang w:val="en-US"/>
        </w:rPr>
        <w:t xml:space="preserve">the </w:t>
      </w:r>
      <w:r w:rsidR="00791C6F">
        <w:rPr>
          <w:sz w:val="22"/>
          <w:szCs w:val="22"/>
          <w:lang w:val="en-US"/>
        </w:rPr>
        <w:t>open issues identified in the WF for further analysis</w:t>
      </w:r>
      <w:r w:rsidR="00183017">
        <w:rPr>
          <w:sz w:val="22"/>
          <w:szCs w:val="22"/>
          <w:lang w:val="en-US"/>
        </w:rPr>
        <w:t xml:space="preserve">. </w:t>
      </w:r>
    </w:p>
    <w:p w14:paraId="4470A718" w14:textId="1FECB023" w:rsidR="00B56FB8" w:rsidRPr="00E43D4E" w:rsidRDefault="00EE0862" w:rsidP="00E43D4E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of </w:t>
      </w:r>
      <w:r w:rsidR="00185CE6">
        <w:t>timing</w:t>
      </w:r>
      <w:r w:rsidR="00F74D40">
        <w:t xml:space="preserve"> </w:t>
      </w:r>
      <w:r w:rsidR="004159D2">
        <w:t xml:space="preserve">related procedures </w:t>
      </w:r>
      <w:r w:rsidR="00F74D40">
        <w:t>on RRM</w:t>
      </w:r>
    </w:p>
    <w:p w14:paraId="2EDCAC56" w14:textId="7E28C82D" w:rsidR="00F04EF5" w:rsidRDefault="00E43D4E" w:rsidP="00E43D4E">
      <w:pPr>
        <w:spacing w:before="240"/>
        <w:rPr>
          <w:sz w:val="22"/>
          <w:szCs w:val="22"/>
          <w:lang w:val="en-US"/>
        </w:rPr>
      </w:pPr>
      <w:r w:rsidRPr="00186011">
        <w:rPr>
          <w:sz w:val="22"/>
          <w:szCs w:val="22"/>
          <w:lang w:val="en-US"/>
        </w:rPr>
        <w:t xml:space="preserve">The following related to </w:t>
      </w:r>
      <w:r w:rsidR="00F8641E" w:rsidRPr="00186011">
        <w:rPr>
          <w:sz w:val="22"/>
          <w:szCs w:val="22"/>
          <w:lang w:val="en-US"/>
        </w:rPr>
        <w:t>case 6</w:t>
      </w:r>
      <w:r w:rsidRPr="00186011">
        <w:rPr>
          <w:sz w:val="22"/>
          <w:szCs w:val="22"/>
          <w:lang w:val="en-US"/>
        </w:rPr>
        <w:t xml:space="preserve"> was agreed in the last RAN4 WF [1]:</w:t>
      </w:r>
    </w:p>
    <w:p w14:paraId="4F8C8D7C" w14:textId="77777777" w:rsidR="00F04EF5" w:rsidRPr="00F04EF5" w:rsidRDefault="00F04EF5" w:rsidP="00F04EF5">
      <w:pPr>
        <w:pStyle w:val="ListParagraph"/>
        <w:numPr>
          <w:ilvl w:val="0"/>
          <w:numId w:val="43"/>
        </w:numPr>
        <w:pBdr>
          <w:top w:val="single" w:sz="4" w:space="1" w:color="auto"/>
        </w:pBdr>
        <w:spacing w:before="240" w:after="120" w:line="259" w:lineRule="auto"/>
        <w:rPr>
          <w:rFonts w:ascii="Times New Roman" w:eastAsia="SimSun" w:hAnsi="Times New Roman"/>
          <w:i/>
          <w:iCs/>
          <w:szCs w:val="22"/>
          <w:lang w:eastAsia="zh-CN"/>
        </w:rPr>
      </w:pPr>
      <w:r w:rsidRPr="00F04EF5">
        <w:rPr>
          <w:rFonts w:ascii="Times New Roman" w:eastAsia="SimSun" w:hAnsi="Times New Roman"/>
          <w:i/>
          <w:iCs/>
          <w:szCs w:val="22"/>
          <w:lang w:eastAsia="zh-CN"/>
        </w:rPr>
        <w:t>Option 1: Wait for further RAN1 agreements related to OTA timing synchronization mechanism for Case # 6 timing before drawing final conclusions on the RRM impact.</w:t>
      </w:r>
    </w:p>
    <w:p w14:paraId="5E1CB48C" w14:textId="77777777" w:rsidR="00F04EF5" w:rsidRPr="00F04EF5" w:rsidRDefault="00F04EF5" w:rsidP="00F04EF5">
      <w:pPr>
        <w:pStyle w:val="ListParagraph"/>
        <w:numPr>
          <w:ilvl w:val="0"/>
          <w:numId w:val="43"/>
        </w:numPr>
        <w:pBdr>
          <w:bottom w:val="single" w:sz="4" w:space="1" w:color="auto"/>
        </w:pBdr>
        <w:spacing w:before="120" w:line="259" w:lineRule="auto"/>
        <w:ind w:left="357" w:hanging="357"/>
        <w:contextualSpacing w:val="0"/>
        <w:rPr>
          <w:rFonts w:ascii="Times New Roman" w:eastAsia="Yu Mincho" w:hAnsi="Times New Roman"/>
          <w:i/>
          <w:iCs/>
          <w:szCs w:val="22"/>
          <w:lang w:eastAsia="zh-CN"/>
        </w:rPr>
      </w:pPr>
      <w:r w:rsidRPr="00F04EF5">
        <w:rPr>
          <w:rFonts w:ascii="Times New Roman" w:eastAsia="Yu Mincho" w:hAnsi="Times New Roman"/>
          <w:i/>
          <w:iCs/>
          <w:szCs w:val="22"/>
          <w:lang w:eastAsia="zh-CN"/>
        </w:rPr>
        <w:t xml:space="preserve">Option 2: </w:t>
      </w:r>
      <w:r w:rsidRPr="00F04EF5">
        <w:rPr>
          <w:rFonts w:ascii="Times New Roman" w:eastAsia="Yu Mincho" w:hAnsi="Times New Roman"/>
          <w:bCs/>
          <w:i/>
          <w:iCs/>
          <w:szCs w:val="22"/>
          <w:lang w:eastAsia="zh-CN"/>
        </w:rPr>
        <w:t>Reflect the difference between Case#1 and Case#6 timing in TS 38.174.</w:t>
      </w:r>
    </w:p>
    <w:p w14:paraId="32B8C9FE" w14:textId="791BD183" w:rsidR="003464B5" w:rsidRPr="00661788" w:rsidRDefault="004B55D3" w:rsidP="00661788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RAN1 has finalized the procedure</w:t>
      </w:r>
      <w:r w:rsidR="004159D2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for Case 1, Case </w:t>
      </w:r>
      <w:proofErr w:type="gramStart"/>
      <w:r>
        <w:rPr>
          <w:sz w:val="22"/>
          <w:szCs w:val="22"/>
          <w:lang w:val="en-US"/>
        </w:rPr>
        <w:t>6</w:t>
      </w:r>
      <w:proofErr w:type="gramEnd"/>
      <w:r>
        <w:rPr>
          <w:sz w:val="22"/>
          <w:szCs w:val="22"/>
          <w:lang w:val="en-US"/>
        </w:rPr>
        <w:t xml:space="preserve"> and Cas</w:t>
      </w:r>
      <w:r w:rsidR="004159D2">
        <w:rPr>
          <w:sz w:val="22"/>
          <w:szCs w:val="22"/>
          <w:lang w:val="en-US"/>
        </w:rPr>
        <w:t>e 7 timing</w:t>
      </w:r>
      <w:r w:rsidR="00661788">
        <w:rPr>
          <w:sz w:val="22"/>
          <w:szCs w:val="22"/>
          <w:lang w:val="en-US"/>
        </w:rPr>
        <w:t>s</w:t>
      </w:r>
      <w:r w:rsidR="004159D2">
        <w:rPr>
          <w:sz w:val="22"/>
          <w:szCs w:val="22"/>
          <w:lang w:val="en-US"/>
        </w:rPr>
        <w:t xml:space="preserve">. According to the approved RAN1 </w:t>
      </w:r>
      <w:r w:rsidR="0087264F">
        <w:rPr>
          <w:sz w:val="22"/>
          <w:szCs w:val="22"/>
          <w:lang w:val="en-US"/>
        </w:rPr>
        <w:t xml:space="preserve">IAB </w:t>
      </w:r>
      <w:r w:rsidR="004159D2">
        <w:rPr>
          <w:sz w:val="22"/>
          <w:szCs w:val="22"/>
          <w:lang w:val="en-US"/>
        </w:rPr>
        <w:t>CR the</w:t>
      </w:r>
      <w:r w:rsidR="00661788">
        <w:rPr>
          <w:sz w:val="22"/>
          <w:szCs w:val="22"/>
          <w:lang w:val="en-US"/>
        </w:rPr>
        <w:t xml:space="preserve"> timing related procedures defined in TS 38.213 v17.0.0 are quoted below [</w:t>
      </w:r>
      <w:r w:rsidR="009C07D1">
        <w:rPr>
          <w:sz w:val="22"/>
          <w:szCs w:val="22"/>
          <w:lang w:val="en-US"/>
        </w:rPr>
        <w:t>2</w:t>
      </w:r>
      <w:r w:rsidR="00661788">
        <w:rPr>
          <w:sz w:val="22"/>
          <w:szCs w:val="22"/>
          <w:lang w:val="en-US"/>
        </w:rPr>
        <w:t>]:</w:t>
      </w:r>
    </w:p>
    <w:p w14:paraId="60804CCB" w14:textId="77777777" w:rsidR="007459C8" w:rsidRPr="000E3B40" w:rsidRDefault="007459C8" w:rsidP="000E3B40">
      <w:pPr>
        <w:pStyle w:val="ListParagraph"/>
        <w:numPr>
          <w:ilvl w:val="0"/>
          <w:numId w:val="45"/>
        </w:numPr>
        <w:pBdr>
          <w:top w:val="single" w:sz="4" w:space="1" w:color="auto"/>
        </w:pBdr>
        <w:spacing w:before="240"/>
        <w:jc w:val="both"/>
        <w:rPr>
          <w:rFonts w:ascii="Times New Roman" w:eastAsia="SimSun" w:hAnsi="Times New Roman"/>
          <w:i/>
          <w:iCs/>
          <w:szCs w:val="22"/>
        </w:rPr>
      </w:pPr>
      <w:r w:rsidRPr="000E3B40">
        <w:rPr>
          <w:rFonts w:ascii="Times New Roman" w:eastAsia="SimSun" w:hAnsi="Times New Roman"/>
          <w:i/>
          <w:iCs/>
          <w:szCs w:val="22"/>
        </w:rPr>
        <w:t>If the indicated IAB-MT transmission timing mode in a slot is set to ‘Case1’, the IAB-MT transmission time is determined as for a "UE" in clause 4.2.</w:t>
      </w:r>
    </w:p>
    <w:p w14:paraId="350EF4B1" w14:textId="77777777" w:rsidR="007459C8" w:rsidRPr="000E3B40" w:rsidRDefault="007459C8" w:rsidP="000E3B40">
      <w:pPr>
        <w:pStyle w:val="ListParagraph"/>
        <w:numPr>
          <w:ilvl w:val="0"/>
          <w:numId w:val="45"/>
        </w:numPr>
        <w:spacing w:before="180"/>
        <w:ind w:left="357" w:hanging="357"/>
        <w:contextualSpacing w:val="0"/>
        <w:jc w:val="both"/>
        <w:rPr>
          <w:rFonts w:ascii="Times New Roman" w:eastAsia="SimSun" w:hAnsi="Times New Roman"/>
          <w:i/>
          <w:iCs/>
          <w:szCs w:val="22"/>
        </w:rPr>
      </w:pPr>
      <w:r w:rsidRPr="000E3B40">
        <w:rPr>
          <w:rFonts w:ascii="Times New Roman" w:eastAsia="SimSun" w:hAnsi="Times New Roman"/>
          <w:i/>
          <w:iCs/>
          <w:szCs w:val="22"/>
        </w:rPr>
        <w:t>If the indicated IAB-MT transmission timing mode in a slot is set to ‘Case6’, the IAB-node sets the IAB-MT transmission time to the transmission time of the IAB-DU.</w:t>
      </w:r>
    </w:p>
    <w:p w14:paraId="19CE0830" w14:textId="32330E77" w:rsidR="007459C8" w:rsidRPr="000E3B40" w:rsidRDefault="007459C8" w:rsidP="000E3B40">
      <w:pPr>
        <w:pStyle w:val="ListParagraph"/>
        <w:numPr>
          <w:ilvl w:val="0"/>
          <w:numId w:val="45"/>
        </w:numPr>
        <w:pBdr>
          <w:bottom w:val="single" w:sz="4" w:space="1" w:color="auto"/>
        </w:pBdr>
        <w:spacing w:before="180"/>
        <w:ind w:left="357" w:hanging="357"/>
        <w:contextualSpacing w:val="0"/>
        <w:jc w:val="both"/>
        <w:rPr>
          <w:rFonts w:ascii="Times New Roman" w:eastAsia="SimSun" w:hAnsi="Times New Roman"/>
          <w:i/>
          <w:iCs/>
          <w:szCs w:val="22"/>
        </w:rPr>
      </w:pPr>
      <w:r w:rsidRPr="000E3B40">
        <w:rPr>
          <w:rFonts w:ascii="Times New Roman" w:eastAsia="SimSun" w:hAnsi="Times New Roman"/>
          <w:i/>
          <w:iCs/>
          <w:szCs w:val="22"/>
        </w:rPr>
        <w:t xml:space="preserve">If the indicated IAB-MT transmission timing mode in a slot is set to ‘Case7’, the IAB-MT is provided </w:t>
      </w:r>
      <w:r w:rsidRPr="000E3B40">
        <w:rPr>
          <w:rFonts w:ascii="Times New Roman" w:eastAsia="DengXian" w:hAnsi="Times New Roman"/>
          <w:i/>
          <w:iCs/>
          <w:szCs w:val="22"/>
          <w:lang w:eastAsia="zh-CN"/>
        </w:rPr>
        <w:t xml:space="preserve">a timing advance offset value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="SimSun" w:hAnsi="Cambria Math"/>
                <w:szCs w:val="22"/>
              </w:rPr>
              <m:t>N</m:t>
            </m:r>
          </m:e>
          <m:sub>
            <m:r>
              <w:rPr>
                <w:rFonts w:ascii="Cambria Math" w:eastAsia="SimSun" w:hAnsi="Cambria Math"/>
                <w:szCs w:val="22"/>
              </w:rPr>
              <m:t>TA,offset,2</m:t>
            </m:r>
          </m:sub>
        </m:sSub>
      </m:oMath>
      <w:r w:rsidRPr="000E3B40">
        <w:rPr>
          <w:rFonts w:ascii="Times New Roman" w:eastAsia="DengXian" w:hAnsi="Times New Roman"/>
          <w:i/>
          <w:iCs/>
          <w:szCs w:val="22"/>
          <w:lang w:eastAsia="zh-CN"/>
        </w:rPr>
        <w:t xml:space="preserve"> for a serving cell by Case7 Timing Offset MAC CE </w:t>
      </w:r>
      <w:r w:rsidRPr="000E3B40">
        <w:rPr>
          <w:rFonts w:ascii="Times New Roman" w:eastAsia="SimSun" w:hAnsi="Times New Roman"/>
          <w:i/>
          <w:iCs/>
          <w:szCs w:val="22"/>
        </w:rPr>
        <w:t xml:space="preserve">[11, TS 38.321]. The IAB-MT determines its uplink transmission timing as </w:t>
      </w:r>
      <m:oMath>
        <m:d>
          <m:dPr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iCs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Cs w:val="22"/>
                  </w:rPr>
                  <m:t>TA</m:t>
                </m:r>
              </m:sub>
            </m:sSub>
            <m:r>
              <w:rPr>
                <w:rFonts w:ascii="Cambria Math" w:eastAsia="SimSun" w:hAnsi="Cambria Math"/>
                <w:szCs w:val="22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i/>
                    <w:iCs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Cs w:val="22"/>
                  </w:rPr>
                  <m:t>TA,offset</m:t>
                </m:r>
              </m:sub>
            </m:sSub>
            <m:r>
              <w:rPr>
                <w:rFonts w:ascii="Cambria Math" w:eastAsia="SimSun" w:hAnsi="Cambria Math"/>
                <w:szCs w:val="22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i/>
                    <w:iCs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Cs w:val="22"/>
                  </w:rPr>
                  <m:t>TA,offset,2</m:t>
                </m:r>
              </m:sub>
            </m:sSub>
          </m:e>
        </m:d>
        <m:r>
          <w:rPr>
            <w:rFonts w:ascii="Cambria Math" w:eastAsia="SimSun" w:hAnsi="Cambria Math"/>
            <w:szCs w:val="22"/>
          </w:rPr>
          <m:t xml:space="preserve"> ⋅</m:t>
        </m:r>
        <m:sSub>
          <m:sSubPr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="SimSun" w:hAnsi="Cambria Math"/>
                <w:szCs w:val="22"/>
              </w:rPr>
              <m:t>T</m:t>
            </m:r>
          </m:e>
          <m:sub>
            <m:r>
              <w:rPr>
                <w:rFonts w:ascii="Cambria Math" w:eastAsia="SimSun" w:hAnsi="Cambria Math"/>
                <w:szCs w:val="22"/>
              </w:rPr>
              <m:t>c</m:t>
            </m:r>
          </m:sub>
        </m:sSub>
      </m:oMath>
      <w:r w:rsidRPr="000E3B40">
        <w:rPr>
          <w:rFonts w:ascii="Times New Roman" w:eastAsia="SimSun" w:hAnsi="Times New Roman"/>
          <w:i/>
          <w:iCs/>
          <w:szCs w:val="22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="SimSun" w:hAnsi="Cambria Math"/>
                <w:szCs w:val="22"/>
              </w:rPr>
              <m:t>N</m:t>
            </m:r>
          </m:e>
          <m:sub>
            <m:r>
              <w:rPr>
                <w:rFonts w:ascii="Cambria Math" w:eastAsia="SimSun" w:hAnsi="Cambria Math"/>
                <w:szCs w:val="22"/>
              </w:rPr>
              <m:t>TA</m:t>
            </m:r>
          </m:sub>
        </m:sSub>
      </m:oMath>
      <w:r w:rsidRPr="000E3B40">
        <w:rPr>
          <w:rFonts w:ascii="Times New Roman" w:eastAsia="SimSun" w:hAnsi="Times New Roman"/>
          <w:i/>
          <w:iCs/>
          <w:szCs w:val="22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="SimSun" w:hAnsi="Cambria Math"/>
                <w:szCs w:val="22"/>
              </w:rPr>
              <m:t>N</m:t>
            </m:r>
          </m:e>
          <m:sub>
            <m:r>
              <w:rPr>
                <w:rFonts w:ascii="Cambria Math" w:eastAsia="SimSun" w:hAnsi="Cambria Math"/>
                <w:szCs w:val="22"/>
              </w:rPr>
              <m:t>TA,offset</m:t>
            </m:r>
          </m:sub>
        </m:sSub>
      </m:oMath>
      <w:r w:rsidRPr="000E3B40">
        <w:rPr>
          <w:rFonts w:ascii="Times New Roman" w:eastAsia="SimSun" w:hAnsi="Times New Roman"/>
          <w:i/>
          <w:iCs/>
          <w:szCs w:val="22"/>
        </w:rPr>
        <w:t xml:space="preserve"> are obtained as for a "UE" in clause 4.2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="SimSun" w:hAnsi="Cambria Math"/>
                <w:szCs w:val="22"/>
              </w:rPr>
              <m:t>N</m:t>
            </m:r>
          </m:e>
          <m:sub>
            <m:r>
              <w:rPr>
                <w:rFonts w:ascii="Cambria Math" w:eastAsia="SimSun" w:hAnsi="Cambria Math"/>
                <w:szCs w:val="22"/>
              </w:rPr>
              <m:t>TA,offset,2</m:t>
            </m:r>
          </m:sub>
        </m:sSub>
        <m:r>
          <w:rPr>
            <w:rFonts w:ascii="Cambria Math" w:eastAsia="SimSun" w:hAnsi="Cambria Math"/>
            <w:szCs w:val="22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="SimSun" w:hAnsi="Cambria Math"/>
                <w:szCs w:val="22"/>
              </w:rPr>
              <m:t>T</m:t>
            </m:r>
          </m:e>
          <m:sub>
            <m:r>
              <w:rPr>
                <w:rFonts w:ascii="Cambria Math" w:eastAsia="SimSun" w:hAnsi="Cambria Math"/>
                <w:szCs w:val="22"/>
              </w:rPr>
              <m:t>offset,2</m:t>
            </m:r>
          </m:sub>
        </m:sSub>
        <m:r>
          <w:rPr>
            <w:rFonts w:ascii="Cambria Math" w:eastAsia="SimSun" w:hAnsi="Cambria Math"/>
            <w:szCs w:val="22"/>
          </w:rPr>
          <m:t>⋅16⋅</m:t>
        </m:r>
        <m:f>
          <m:fPr>
            <m:type m:val="lin"/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fPr>
          <m:num>
            <m:r>
              <w:rPr>
                <w:rFonts w:ascii="Cambria Math" w:eastAsia="SimSun" w:hAnsi="Cambria Math"/>
                <w:szCs w:val="22"/>
              </w:rPr>
              <m:t>64</m:t>
            </m:r>
          </m:num>
          <m:den>
            <m:sSup>
              <m:sSupPr>
                <m:ctrlPr>
                  <w:rPr>
                    <w:rFonts w:ascii="Cambria Math" w:eastAsia="SimSun" w:hAnsi="Cambria Math"/>
                    <w:i/>
                    <w:iCs/>
                    <w:szCs w:val="22"/>
                  </w:rPr>
                </m:ctrlPr>
              </m:sSupPr>
              <m:e>
                <m:r>
                  <w:rPr>
                    <w:rFonts w:ascii="Cambria Math" w:eastAsia="SimSun" w:hAnsi="Cambria Math"/>
                    <w:szCs w:val="22"/>
                  </w:rPr>
                  <m:t>2</m:t>
                </m:r>
              </m:e>
              <m:sup>
                <m:r>
                  <w:rPr>
                    <w:rFonts w:ascii="Cambria Math" w:eastAsia="SimSun" w:hAnsi="Cambria Math"/>
                    <w:szCs w:val="22"/>
                  </w:rPr>
                  <m:t>μ</m:t>
                </m:r>
              </m:sup>
            </m:sSup>
          </m:den>
        </m:f>
      </m:oMath>
      <w:r w:rsidRPr="000E3B40">
        <w:rPr>
          <w:rFonts w:ascii="Times New Roman" w:eastAsia="SimSun" w:hAnsi="Times New Roman"/>
          <w:i/>
          <w:iCs/>
          <w:szCs w:val="22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eastAsia="SimSun" w:hAnsi="Cambria Math"/>
                <w:szCs w:val="22"/>
              </w:rPr>
              <m:t>T</m:t>
            </m:r>
          </m:e>
          <m:sub>
            <m:r>
              <w:rPr>
                <w:rFonts w:ascii="Cambria Math" w:eastAsia="SimSun" w:hAnsi="Cambria Math"/>
                <w:szCs w:val="22"/>
              </w:rPr>
              <m:t>offset,2</m:t>
            </m:r>
          </m:sub>
        </m:sSub>
      </m:oMath>
      <w:r w:rsidRPr="000E3B40">
        <w:rPr>
          <w:rFonts w:ascii="Times New Roman" w:eastAsia="SimSun" w:hAnsi="Times New Roman"/>
          <w:i/>
          <w:iCs/>
          <w:szCs w:val="22"/>
        </w:rPr>
        <w:t xml:space="preserve"> is provided by the Absolute Time Offset MAC CE [11, TS 38.321]. </w:t>
      </w:r>
    </w:p>
    <w:p w14:paraId="27D93037" w14:textId="6BDAD9BC" w:rsidR="007459C8" w:rsidRDefault="006A613F" w:rsidP="00A976BF">
      <w:pPr>
        <w:overflowPunct w:val="0"/>
        <w:autoSpaceDE w:val="0"/>
        <w:autoSpaceDN w:val="0"/>
        <w:adjustRightInd w:val="0"/>
        <w:spacing w:before="360" w:line="259" w:lineRule="auto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 xml:space="preserve">The Case 1 timing is </w:t>
      </w:r>
      <w:r w:rsidR="0007324E">
        <w:rPr>
          <w:bCs/>
          <w:sz w:val="22"/>
          <w:szCs w:val="22"/>
          <w:lang w:val="en-US" w:eastAsia="zh-CN"/>
        </w:rPr>
        <w:t xml:space="preserve">based on the </w:t>
      </w:r>
      <w:r>
        <w:rPr>
          <w:bCs/>
          <w:sz w:val="22"/>
          <w:szCs w:val="22"/>
          <w:lang w:val="en-US" w:eastAsia="zh-CN"/>
        </w:rPr>
        <w:t xml:space="preserve">existing timing advance mechanism </w:t>
      </w:r>
      <w:r w:rsidR="0007324E">
        <w:rPr>
          <w:bCs/>
          <w:sz w:val="22"/>
          <w:szCs w:val="22"/>
          <w:lang w:val="en-US" w:eastAsia="zh-CN"/>
        </w:rPr>
        <w:t xml:space="preserve">specified </w:t>
      </w:r>
      <w:r>
        <w:rPr>
          <w:bCs/>
          <w:sz w:val="22"/>
          <w:szCs w:val="22"/>
          <w:lang w:val="en-US" w:eastAsia="zh-CN"/>
        </w:rPr>
        <w:t xml:space="preserve">for </w:t>
      </w:r>
      <w:r w:rsidR="0007324E">
        <w:rPr>
          <w:bCs/>
          <w:sz w:val="22"/>
          <w:szCs w:val="22"/>
          <w:lang w:val="en-US" w:eastAsia="zh-CN"/>
        </w:rPr>
        <w:t xml:space="preserve">the </w:t>
      </w:r>
      <w:r>
        <w:rPr>
          <w:bCs/>
          <w:sz w:val="22"/>
          <w:szCs w:val="22"/>
          <w:lang w:val="en-US" w:eastAsia="zh-CN"/>
        </w:rPr>
        <w:t>UE</w:t>
      </w:r>
      <w:r w:rsidR="0007324E">
        <w:rPr>
          <w:bCs/>
          <w:sz w:val="22"/>
          <w:szCs w:val="22"/>
          <w:lang w:val="en-US" w:eastAsia="zh-CN"/>
        </w:rPr>
        <w:t xml:space="preserve"> in clause 4.2, TS 38.213</w:t>
      </w:r>
      <w:r>
        <w:rPr>
          <w:bCs/>
          <w:sz w:val="22"/>
          <w:szCs w:val="22"/>
          <w:lang w:val="en-US" w:eastAsia="zh-CN"/>
        </w:rPr>
        <w:t xml:space="preserve">. </w:t>
      </w:r>
      <w:r w:rsidR="00E45C1D">
        <w:rPr>
          <w:bCs/>
          <w:sz w:val="22"/>
          <w:szCs w:val="22"/>
          <w:lang w:val="en-US" w:eastAsia="zh-CN"/>
        </w:rPr>
        <w:t xml:space="preserve">For Case 1 timing, the timing advance step size accuracy requirements </w:t>
      </w:r>
      <w:proofErr w:type="spellStart"/>
      <w:r w:rsidR="00E45C1D">
        <w:rPr>
          <w:bCs/>
          <w:sz w:val="22"/>
          <w:szCs w:val="22"/>
          <w:lang w:val="en-US" w:eastAsia="zh-CN"/>
        </w:rPr>
        <w:t>aready</w:t>
      </w:r>
      <w:proofErr w:type="spellEnd"/>
      <w:r w:rsidR="00E45C1D">
        <w:rPr>
          <w:bCs/>
          <w:sz w:val="22"/>
          <w:szCs w:val="22"/>
          <w:lang w:val="en-US" w:eastAsia="zh-CN"/>
        </w:rPr>
        <w:t xml:space="preserve"> exist in </w:t>
      </w:r>
      <w:r w:rsidR="00F377EF">
        <w:rPr>
          <w:bCs/>
          <w:sz w:val="22"/>
          <w:szCs w:val="22"/>
          <w:lang w:val="en-US" w:eastAsia="zh-CN"/>
        </w:rPr>
        <w:t xml:space="preserve">clause 12.2.3, </w:t>
      </w:r>
      <w:r w:rsidR="00E45C1D">
        <w:rPr>
          <w:bCs/>
          <w:sz w:val="22"/>
          <w:szCs w:val="22"/>
          <w:lang w:val="en-US" w:eastAsia="zh-CN"/>
        </w:rPr>
        <w:t>TS 38.174.</w:t>
      </w:r>
    </w:p>
    <w:p w14:paraId="23DF1D00" w14:textId="449DC688" w:rsidR="000D12A0" w:rsidRDefault="000D12A0" w:rsidP="00386997">
      <w:pPr>
        <w:overflowPunct w:val="0"/>
        <w:autoSpaceDE w:val="0"/>
        <w:autoSpaceDN w:val="0"/>
        <w:adjustRightInd w:val="0"/>
        <w:spacing w:before="240" w:line="259" w:lineRule="auto"/>
        <w:textAlignment w:val="baseline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>For Case 6 timing, the agreement is that th</w:t>
      </w:r>
      <w:r w:rsidR="00CD5FBC">
        <w:rPr>
          <w:bCs/>
          <w:sz w:val="22"/>
          <w:szCs w:val="22"/>
          <w:lang w:val="en-US" w:eastAsia="zh-CN"/>
        </w:rPr>
        <w:t xml:space="preserve">e </w:t>
      </w:r>
      <w:r w:rsidR="00A100E9">
        <w:rPr>
          <w:bCs/>
          <w:sz w:val="22"/>
          <w:szCs w:val="22"/>
          <w:lang w:val="en-US" w:eastAsia="zh-CN"/>
        </w:rPr>
        <w:t xml:space="preserve">transmission </w:t>
      </w:r>
      <w:r w:rsidR="00CD5FBC">
        <w:rPr>
          <w:bCs/>
          <w:sz w:val="22"/>
          <w:szCs w:val="22"/>
          <w:lang w:val="en-US" w:eastAsia="zh-CN"/>
        </w:rPr>
        <w:t xml:space="preserve">timing </w:t>
      </w:r>
      <w:r w:rsidR="00A100E9">
        <w:rPr>
          <w:bCs/>
          <w:sz w:val="22"/>
          <w:szCs w:val="22"/>
          <w:lang w:val="en-US" w:eastAsia="zh-CN"/>
        </w:rPr>
        <w:t>of the IAB</w:t>
      </w:r>
      <w:r w:rsidR="008978F4">
        <w:rPr>
          <w:bCs/>
          <w:sz w:val="22"/>
          <w:szCs w:val="22"/>
          <w:lang w:val="en-US" w:eastAsia="zh-CN"/>
        </w:rPr>
        <w:t>-</w:t>
      </w:r>
      <w:r w:rsidR="00A100E9">
        <w:rPr>
          <w:bCs/>
          <w:sz w:val="22"/>
          <w:szCs w:val="22"/>
          <w:lang w:val="en-US" w:eastAsia="zh-CN"/>
        </w:rPr>
        <w:t xml:space="preserve">MT is set to </w:t>
      </w:r>
      <w:r w:rsidR="008978F4">
        <w:rPr>
          <w:bCs/>
          <w:sz w:val="22"/>
          <w:szCs w:val="22"/>
          <w:lang w:val="en-US" w:eastAsia="zh-CN"/>
        </w:rPr>
        <w:t xml:space="preserve">the transmission timing of the IAB-DU in the same IAB-node. </w:t>
      </w:r>
      <w:r w:rsidR="00E91747">
        <w:rPr>
          <w:bCs/>
          <w:sz w:val="22"/>
          <w:szCs w:val="22"/>
          <w:lang w:val="en-US" w:eastAsia="zh-CN"/>
        </w:rPr>
        <w:t>Depending on the IAB internal architec</w:t>
      </w:r>
      <w:r w:rsidR="00B642D9">
        <w:rPr>
          <w:bCs/>
          <w:sz w:val="22"/>
          <w:szCs w:val="22"/>
          <w:lang w:val="en-US" w:eastAsia="zh-CN"/>
        </w:rPr>
        <w:t xml:space="preserve">ture </w:t>
      </w:r>
      <w:r w:rsidR="008C3A02">
        <w:rPr>
          <w:bCs/>
          <w:sz w:val="22"/>
          <w:szCs w:val="22"/>
          <w:lang w:val="en-US" w:eastAsia="zh-CN"/>
        </w:rPr>
        <w:t xml:space="preserve">and </w:t>
      </w:r>
      <w:r w:rsidR="000F6F77">
        <w:rPr>
          <w:bCs/>
          <w:sz w:val="22"/>
          <w:szCs w:val="22"/>
          <w:lang w:val="en-US" w:eastAsia="zh-CN"/>
        </w:rPr>
        <w:t>due to RF</w:t>
      </w:r>
      <w:r w:rsidR="008C3A02">
        <w:rPr>
          <w:bCs/>
          <w:sz w:val="22"/>
          <w:szCs w:val="22"/>
          <w:lang w:val="en-US" w:eastAsia="zh-CN"/>
        </w:rPr>
        <w:t xml:space="preserve"> impairment,</w:t>
      </w:r>
      <w:r w:rsidR="000F6F77">
        <w:rPr>
          <w:bCs/>
          <w:sz w:val="22"/>
          <w:szCs w:val="22"/>
          <w:lang w:val="en-US" w:eastAsia="zh-CN"/>
        </w:rPr>
        <w:t xml:space="preserve"> </w:t>
      </w:r>
      <w:r w:rsidR="006C655E">
        <w:rPr>
          <w:bCs/>
          <w:sz w:val="22"/>
          <w:szCs w:val="22"/>
          <w:lang w:val="en-US" w:eastAsia="zh-CN"/>
        </w:rPr>
        <w:t xml:space="preserve">there </w:t>
      </w:r>
      <w:r w:rsidR="000F6F77">
        <w:rPr>
          <w:bCs/>
          <w:sz w:val="22"/>
          <w:szCs w:val="22"/>
          <w:lang w:val="en-US" w:eastAsia="zh-CN"/>
        </w:rPr>
        <w:t xml:space="preserve">may be some </w:t>
      </w:r>
      <w:r w:rsidR="006C655E">
        <w:rPr>
          <w:bCs/>
          <w:sz w:val="22"/>
          <w:szCs w:val="22"/>
          <w:lang w:val="en-US" w:eastAsia="zh-CN"/>
        </w:rPr>
        <w:t>relative error between the transmission timings of the IAB-MT and IAB-DU</w:t>
      </w:r>
      <w:r w:rsidR="009C07D1">
        <w:rPr>
          <w:bCs/>
          <w:sz w:val="22"/>
          <w:szCs w:val="22"/>
          <w:lang w:val="en-US" w:eastAsia="zh-CN"/>
        </w:rPr>
        <w:t xml:space="preserve"> [3]</w:t>
      </w:r>
      <w:r w:rsidR="006C655E">
        <w:rPr>
          <w:bCs/>
          <w:sz w:val="22"/>
          <w:szCs w:val="22"/>
          <w:lang w:val="en-US" w:eastAsia="zh-CN"/>
        </w:rPr>
        <w:t xml:space="preserve">. </w:t>
      </w:r>
      <w:r w:rsidR="00F76090">
        <w:rPr>
          <w:bCs/>
          <w:sz w:val="22"/>
          <w:szCs w:val="22"/>
          <w:lang w:val="en-US" w:eastAsia="zh-CN"/>
        </w:rPr>
        <w:t>T</w:t>
      </w:r>
      <w:r w:rsidR="008C3A02">
        <w:rPr>
          <w:bCs/>
          <w:sz w:val="22"/>
          <w:szCs w:val="22"/>
          <w:lang w:val="en-US" w:eastAsia="zh-CN"/>
        </w:rPr>
        <w:t>his</w:t>
      </w:r>
      <w:r w:rsidR="000F6F77">
        <w:rPr>
          <w:bCs/>
          <w:sz w:val="22"/>
          <w:szCs w:val="22"/>
          <w:lang w:val="en-US" w:eastAsia="zh-CN"/>
        </w:rPr>
        <w:t xml:space="preserve"> </w:t>
      </w:r>
      <w:r w:rsidR="00F76090">
        <w:rPr>
          <w:bCs/>
          <w:sz w:val="22"/>
          <w:szCs w:val="22"/>
          <w:lang w:val="en-US" w:eastAsia="zh-CN"/>
        </w:rPr>
        <w:t xml:space="preserve">being </w:t>
      </w:r>
      <w:r w:rsidR="008C3A02">
        <w:rPr>
          <w:bCs/>
          <w:sz w:val="22"/>
          <w:szCs w:val="22"/>
          <w:lang w:val="en-US" w:eastAsia="zh-CN"/>
        </w:rPr>
        <w:t xml:space="preserve">related to internal </w:t>
      </w:r>
      <w:r w:rsidR="000F6F77">
        <w:rPr>
          <w:bCs/>
          <w:sz w:val="22"/>
          <w:szCs w:val="22"/>
          <w:lang w:val="en-US" w:eastAsia="zh-CN"/>
        </w:rPr>
        <w:t>IAB</w:t>
      </w:r>
      <w:r w:rsidR="00F76090">
        <w:rPr>
          <w:bCs/>
          <w:sz w:val="22"/>
          <w:szCs w:val="22"/>
          <w:lang w:val="en-US" w:eastAsia="zh-CN"/>
        </w:rPr>
        <w:t xml:space="preserve"> RF architecture is bey</w:t>
      </w:r>
      <w:r w:rsidR="00F13270">
        <w:rPr>
          <w:bCs/>
          <w:sz w:val="22"/>
          <w:szCs w:val="22"/>
          <w:lang w:val="en-US" w:eastAsia="zh-CN"/>
        </w:rPr>
        <w:t>ond the scope of RRM. At least no RRM requirement is needed for Case # 6 timing.</w:t>
      </w:r>
    </w:p>
    <w:p w14:paraId="3F17D7EF" w14:textId="0147E0BF" w:rsidR="00644220" w:rsidRPr="001C6F09" w:rsidRDefault="0007324E" w:rsidP="000D61E5">
      <w:pPr>
        <w:overflowPunct w:val="0"/>
        <w:autoSpaceDE w:val="0"/>
        <w:autoSpaceDN w:val="0"/>
        <w:adjustRightInd w:val="0"/>
        <w:spacing w:before="240" w:line="259" w:lineRule="auto"/>
        <w:textAlignment w:val="baseline"/>
        <w:rPr>
          <w:rFonts w:eastAsia="SimSun"/>
          <w:sz w:val="22"/>
          <w:szCs w:val="22"/>
          <w:lang w:val="en-US"/>
        </w:rPr>
      </w:pPr>
      <w:r w:rsidRPr="00A66A45">
        <w:rPr>
          <w:bCs/>
          <w:sz w:val="22"/>
          <w:szCs w:val="22"/>
          <w:lang w:val="en-US" w:eastAsia="zh-CN"/>
        </w:rPr>
        <w:t xml:space="preserve">The Case 7 timing is fundamentally based on the existing timing advance mechanism specified for the UE in clause 4.2, TS 38.213. </w:t>
      </w:r>
      <w:r w:rsidR="004B2E4D" w:rsidRPr="00A66A45">
        <w:rPr>
          <w:rFonts w:eastAsia="SimSun"/>
          <w:sz w:val="22"/>
          <w:szCs w:val="22"/>
          <w:lang w:val="en-US"/>
        </w:rPr>
        <w:t xml:space="preserve">The main difference </w:t>
      </w:r>
      <w:r w:rsidR="00C74B87" w:rsidRPr="00A66A45">
        <w:rPr>
          <w:rFonts w:eastAsia="SimSun"/>
          <w:sz w:val="22"/>
          <w:szCs w:val="22"/>
          <w:lang w:val="en-US"/>
        </w:rPr>
        <w:t xml:space="preserve">is that </w:t>
      </w:r>
      <w:r w:rsidR="007E3E9B">
        <w:rPr>
          <w:rFonts w:eastAsia="SimSun"/>
          <w:sz w:val="22"/>
          <w:szCs w:val="22"/>
          <w:lang w:val="en-US"/>
        </w:rPr>
        <w:t xml:space="preserve">in Case 7, </w:t>
      </w:r>
      <w:r w:rsidR="00C74B87" w:rsidRPr="00A66A45">
        <w:rPr>
          <w:rFonts w:eastAsia="SimSun"/>
          <w:sz w:val="22"/>
          <w:szCs w:val="22"/>
          <w:lang w:val="en-US"/>
        </w:rPr>
        <w:t xml:space="preserve">the </w:t>
      </w:r>
      <w:r w:rsidR="004B2E4D" w:rsidRPr="00A66A45">
        <w:rPr>
          <w:rFonts w:eastAsia="SimSun"/>
          <w:sz w:val="22"/>
          <w:szCs w:val="22"/>
          <w:lang w:val="en-US"/>
        </w:rPr>
        <w:t xml:space="preserve">IAB-MT determines its uplink transmission timing as </w:t>
      </w:r>
      <m:oMath>
        <m:d>
          <m:dPr>
            <m:ctrlPr>
              <w:rPr>
                <w:rFonts w:ascii="Cambria Math" w:eastAsia="SimSun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TA,offset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TA,offset,2</m:t>
                </m:r>
              </m:sub>
            </m:sSub>
          </m:e>
        </m:d>
      </m:oMath>
      <w:r w:rsidR="002364B5" w:rsidRPr="00A66A45">
        <w:rPr>
          <w:rFonts w:eastAsia="SimSun"/>
          <w:sz w:val="22"/>
          <w:szCs w:val="22"/>
          <w:lang w:val="en-US"/>
        </w:rPr>
        <w:t xml:space="preserve"> instead of </w:t>
      </w:r>
      <m:oMath>
        <m:d>
          <m:dPr>
            <m:ctrlPr>
              <w:rPr>
                <w:rFonts w:ascii="Cambria Math" w:eastAsia="SimSun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 xml:space="preserve">+ </m:t>
            </m:r>
            <m:sSub>
              <m:sSubPr>
                <m:ctrlPr>
                  <w:rPr>
                    <w:rFonts w:ascii="Cambria Math" w:eastAsia="SimSun" w:hAnsi="Cambria Math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  <w:szCs w:val="22"/>
                    <w:lang w:val="en-US"/>
                  </w:rPr>
                  <m:t>TA,offset</m:t>
                </m:r>
              </m:sub>
            </m:sSub>
          </m:e>
        </m:d>
      </m:oMath>
      <w:r w:rsidR="002364B5" w:rsidRPr="00A66A45">
        <w:rPr>
          <w:rFonts w:eastAsia="SimSun"/>
          <w:sz w:val="22"/>
          <w:szCs w:val="22"/>
          <w:lang w:val="en-US"/>
        </w:rPr>
        <w:t xml:space="preserve"> </w:t>
      </w:r>
      <w:r w:rsidR="00A66A45" w:rsidRPr="00A66A45">
        <w:rPr>
          <w:rFonts w:eastAsia="SimSun"/>
          <w:sz w:val="22"/>
          <w:szCs w:val="22"/>
          <w:lang w:val="en-US"/>
        </w:rPr>
        <w:t>as in Case 1 timing.</w:t>
      </w:r>
      <w:r w:rsidR="007E3E9B">
        <w:rPr>
          <w:rFonts w:eastAsia="SimSun"/>
          <w:sz w:val="22"/>
          <w:szCs w:val="22"/>
          <w:lang w:val="en-US"/>
        </w:rPr>
        <w:t xml:space="preserve"> The obvious difference is that of</w:t>
      </w:r>
      <w:r w:rsidR="00F02AD9">
        <w:rPr>
          <w:rFonts w:eastAsia="SimSun"/>
          <w:sz w:val="22"/>
          <w:szCs w:val="22"/>
          <w:lang w:val="en-US"/>
        </w:rPr>
        <w:t xml:space="preserve"> the additional timing component</w:t>
      </w:r>
      <w:r w:rsidR="007E3E9B">
        <w:rPr>
          <w:rFonts w:eastAsia="SimSun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TA,offset,2</m:t>
            </m:r>
          </m:sub>
        </m:sSub>
      </m:oMath>
      <w:r w:rsidR="008870DD">
        <w:rPr>
          <w:rFonts w:eastAsia="SimSun"/>
          <w:sz w:val="22"/>
          <w:szCs w:val="22"/>
          <w:lang w:val="en-US"/>
        </w:rPr>
        <w:t xml:space="preserve">, which </w:t>
      </w:r>
      <w:r w:rsidR="00F02AD9">
        <w:rPr>
          <w:rFonts w:eastAsia="SimSun"/>
          <w:sz w:val="22"/>
          <w:szCs w:val="22"/>
          <w:lang w:val="en-US"/>
        </w:rPr>
        <w:t xml:space="preserve">is the function MAC-CE configurable factor </w:t>
      </w:r>
      <w:r w:rsidR="0075637A" w:rsidRPr="00661788">
        <w:rPr>
          <w:rFonts w:eastAsia="SimSun"/>
          <w:i/>
          <w:iCs/>
          <w:sz w:val="20"/>
          <w:szCs w:val="20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/>
              </w:rPr>
              <m:t>offset,2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/>
          </w:rPr>
          <m:t xml:space="preserve">  and </m:t>
        </m:r>
      </m:oMath>
      <w:r w:rsidR="008870DD" w:rsidRPr="0075637A">
        <w:rPr>
          <w:rFonts w:eastAsia="SimSun"/>
          <w:sz w:val="22"/>
          <w:szCs w:val="22"/>
          <w:lang w:val="en-US"/>
        </w:rPr>
        <w:t>scales</w:t>
      </w:r>
      <w:r w:rsidR="008870DD">
        <w:rPr>
          <w:rFonts w:eastAsia="SimSun"/>
          <w:sz w:val="22"/>
          <w:szCs w:val="22"/>
          <w:lang w:val="en-US"/>
        </w:rPr>
        <w:t xml:space="preserve"> with </w:t>
      </w:r>
      <w:r w:rsidR="00917BF0">
        <w:rPr>
          <w:rFonts w:eastAsia="SimSun"/>
          <w:sz w:val="22"/>
          <w:szCs w:val="22"/>
          <w:lang w:val="en-US"/>
        </w:rPr>
        <w:t xml:space="preserve">the </w:t>
      </w:r>
      <w:r w:rsidR="008870DD">
        <w:rPr>
          <w:rFonts w:eastAsia="SimSun"/>
          <w:sz w:val="22"/>
          <w:szCs w:val="22"/>
          <w:lang w:val="en-US"/>
        </w:rPr>
        <w:t>SCS.</w:t>
      </w:r>
      <w:r w:rsidR="0084474F">
        <w:rPr>
          <w:rFonts w:eastAsia="SimSun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TA,offset,2</m:t>
            </m:r>
          </m:sub>
        </m:sSub>
      </m:oMath>
      <w:r w:rsidR="0098506F" w:rsidRPr="00860B8C">
        <w:rPr>
          <w:sz w:val="22"/>
          <w:szCs w:val="22"/>
          <w:lang w:val="en-US"/>
        </w:rPr>
        <w:t xml:space="preserve"> </w:t>
      </w:r>
      <w:r w:rsidR="0035521F">
        <w:rPr>
          <w:sz w:val="22"/>
          <w:szCs w:val="22"/>
          <w:lang w:val="en-US"/>
        </w:rPr>
        <w:t xml:space="preserve">is </w:t>
      </w:r>
      <w:proofErr w:type="spellStart"/>
      <w:r w:rsidR="0035521F">
        <w:rPr>
          <w:sz w:val="22"/>
          <w:szCs w:val="22"/>
          <w:lang w:val="en-US"/>
        </w:rPr>
        <w:t>analoguous</w:t>
      </w:r>
      <w:proofErr w:type="spellEnd"/>
      <w:r w:rsidR="0035521F">
        <w:rPr>
          <w:sz w:val="22"/>
          <w:szCs w:val="22"/>
          <w:lang w:val="en-US"/>
        </w:rPr>
        <w:t xml:space="preserve"> to or comparable to</w:t>
      </w:r>
      <w:r w:rsidR="0098506F">
        <w:rPr>
          <w:sz w:val="22"/>
          <w:szCs w:val="22"/>
          <w:lang w:val="en-US"/>
        </w:rPr>
        <w:t xml:space="preserve"> N</w:t>
      </w:r>
      <w:r w:rsidR="0098506F" w:rsidRPr="0035521F">
        <w:rPr>
          <w:sz w:val="22"/>
          <w:szCs w:val="22"/>
          <w:vertAlign w:val="subscript"/>
          <w:lang w:val="en-US"/>
        </w:rPr>
        <w:t>TA</w:t>
      </w:r>
      <w:r w:rsidR="0098506F">
        <w:rPr>
          <w:sz w:val="22"/>
          <w:szCs w:val="22"/>
          <w:lang w:val="en-US"/>
        </w:rPr>
        <w:t>. N</w:t>
      </w:r>
      <w:r w:rsidR="0098506F" w:rsidRPr="0035521F">
        <w:rPr>
          <w:sz w:val="22"/>
          <w:szCs w:val="22"/>
          <w:vertAlign w:val="subscript"/>
          <w:lang w:val="en-US"/>
        </w:rPr>
        <w:t>TA</w:t>
      </w:r>
      <w:r w:rsidR="0098506F">
        <w:rPr>
          <w:sz w:val="22"/>
          <w:szCs w:val="22"/>
          <w:lang w:val="en-US"/>
        </w:rPr>
        <w:t xml:space="preserve"> </w:t>
      </w:r>
      <w:r w:rsidR="00C537FE">
        <w:rPr>
          <w:sz w:val="22"/>
          <w:szCs w:val="22"/>
          <w:lang w:val="en-US"/>
        </w:rPr>
        <w:lastRenderedPageBreak/>
        <w:t xml:space="preserve">can be absolute for RACH or </w:t>
      </w:r>
      <w:r w:rsidR="0098506F">
        <w:rPr>
          <w:sz w:val="22"/>
          <w:szCs w:val="22"/>
          <w:lang w:val="en-US"/>
        </w:rPr>
        <w:t xml:space="preserve">aggregated </w:t>
      </w:r>
      <w:r w:rsidR="00C537FE">
        <w:rPr>
          <w:sz w:val="22"/>
          <w:szCs w:val="22"/>
          <w:lang w:val="en-US"/>
        </w:rPr>
        <w:t xml:space="preserve">value for </w:t>
      </w:r>
      <w:proofErr w:type="spellStart"/>
      <w:r w:rsidR="00C537FE">
        <w:rPr>
          <w:sz w:val="22"/>
          <w:szCs w:val="22"/>
          <w:lang w:val="en-US"/>
        </w:rPr>
        <w:t>sunsequent</w:t>
      </w:r>
      <w:proofErr w:type="spellEnd"/>
      <w:r w:rsidR="00C537FE">
        <w:rPr>
          <w:sz w:val="22"/>
          <w:szCs w:val="22"/>
          <w:lang w:val="en-US"/>
        </w:rPr>
        <w:t xml:space="preserve"> </w:t>
      </w:r>
      <w:r w:rsidR="0098506F">
        <w:rPr>
          <w:sz w:val="22"/>
          <w:szCs w:val="22"/>
          <w:lang w:val="en-US"/>
        </w:rPr>
        <w:t>changes by TA command</w:t>
      </w:r>
      <w:r w:rsidR="00C537FE">
        <w:rPr>
          <w:sz w:val="22"/>
          <w:szCs w:val="22"/>
          <w:lang w:val="en-US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2"/>
                <w:szCs w:val="22"/>
                <w:lang w:val="en-US"/>
              </w:rPr>
              <m:t>TA,offset,2</m:t>
            </m:r>
          </m:sub>
        </m:sSub>
      </m:oMath>
      <w:r w:rsidR="0098506F" w:rsidRPr="00860B8C">
        <w:rPr>
          <w:sz w:val="22"/>
          <w:szCs w:val="22"/>
          <w:lang w:val="en-US"/>
        </w:rPr>
        <w:t xml:space="preserve"> </w:t>
      </w:r>
      <w:r w:rsidR="0098506F">
        <w:rPr>
          <w:sz w:val="22"/>
          <w:szCs w:val="22"/>
          <w:lang w:val="en-US"/>
        </w:rPr>
        <w:t xml:space="preserve">is </w:t>
      </w:r>
      <w:proofErr w:type="spellStart"/>
      <w:r w:rsidR="0098506F">
        <w:rPr>
          <w:sz w:val="22"/>
          <w:szCs w:val="22"/>
          <w:lang w:val="en-US"/>
        </w:rPr>
        <w:t>signalled</w:t>
      </w:r>
      <w:proofErr w:type="spellEnd"/>
      <w:r w:rsidR="0098506F">
        <w:rPr>
          <w:sz w:val="22"/>
          <w:szCs w:val="22"/>
          <w:lang w:val="en-US"/>
        </w:rPr>
        <w:t xml:space="preserve"> in an absolute manner. However, the incremental/absolute changes result in the same functionality and performance. Nevertheless, the parent </w:t>
      </w:r>
      <w:r w:rsidR="00C537FE">
        <w:rPr>
          <w:sz w:val="22"/>
          <w:szCs w:val="22"/>
          <w:lang w:val="en-US"/>
        </w:rPr>
        <w:t xml:space="preserve">IAB </w:t>
      </w:r>
      <w:r w:rsidR="0098506F">
        <w:rPr>
          <w:sz w:val="22"/>
          <w:szCs w:val="22"/>
          <w:lang w:val="en-US"/>
        </w:rPr>
        <w:t>is under full control of both parameters.</w:t>
      </w:r>
      <w:r w:rsidR="00F65670">
        <w:rPr>
          <w:rFonts w:eastAsia="SimSun"/>
          <w:sz w:val="22"/>
          <w:szCs w:val="22"/>
          <w:lang w:val="en-US"/>
        </w:rPr>
        <w:t xml:space="preserve"> </w:t>
      </w:r>
      <w:r w:rsidR="0084474F">
        <w:rPr>
          <w:bCs/>
          <w:sz w:val="22"/>
          <w:szCs w:val="22"/>
          <w:lang w:val="en-US" w:eastAsia="zh-CN"/>
        </w:rPr>
        <w:t>Therefore</w:t>
      </w:r>
      <w:r w:rsidR="00644220">
        <w:rPr>
          <w:bCs/>
          <w:sz w:val="22"/>
          <w:szCs w:val="22"/>
          <w:lang w:val="en-US" w:eastAsia="zh-CN"/>
        </w:rPr>
        <w:t xml:space="preserve">, </w:t>
      </w:r>
      <w:r w:rsidR="00B2222A">
        <w:rPr>
          <w:bCs/>
          <w:sz w:val="22"/>
          <w:szCs w:val="22"/>
          <w:lang w:val="en-US" w:eastAsia="zh-CN"/>
        </w:rPr>
        <w:t>n</w:t>
      </w:r>
      <w:r w:rsidR="00FD4123">
        <w:rPr>
          <w:bCs/>
          <w:sz w:val="22"/>
          <w:szCs w:val="22"/>
          <w:lang w:val="en-US" w:eastAsia="zh-CN"/>
        </w:rPr>
        <w:t>o additional requirements are needed</w:t>
      </w:r>
      <w:r w:rsidR="00B2222A">
        <w:rPr>
          <w:bCs/>
          <w:sz w:val="22"/>
          <w:szCs w:val="22"/>
          <w:lang w:val="en-US" w:eastAsia="zh-CN"/>
        </w:rPr>
        <w:t xml:space="preserve"> for Case 7 timing</w:t>
      </w:r>
      <w:r w:rsidR="00FD4123">
        <w:rPr>
          <w:bCs/>
          <w:sz w:val="22"/>
          <w:szCs w:val="22"/>
          <w:lang w:val="en-US" w:eastAsia="zh-CN"/>
        </w:rPr>
        <w:t>.</w:t>
      </w:r>
    </w:p>
    <w:p w14:paraId="4FD27D7A" w14:textId="19A61E34" w:rsidR="00ED4F29" w:rsidRPr="00082522" w:rsidRDefault="00ED4F29" w:rsidP="00082522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Impact of CLI for IAB</w:t>
      </w:r>
    </w:p>
    <w:p w14:paraId="0CFFB58A" w14:textId="38EEBD75" w:rsidR="006C7779" w:rsidRDefault="00082522" w:rsidP="00082522">
      <w:pPr>
        <w:spacing w:before="240"/>
        <w:rPr>
          <w:sz w:val="22"/>
          <w:szCs w:val="22"/>
          <w:lang w:val="en-US"/>
        </w:rPr>
      </w:pPr>
      <w:r w:rsidRPr="00186011">
        <w:rPr>
          <w:sz w:val="22"/>
          <w:szCs w:val="22"/>
          <w:lang w:val="en-US"/>
        </w:rPr>
        <w:t xml:space="preserve">The following related to </w:t>
      </w:r>
      <w:r>
        <w:rPr>
          <w:sz w:val="22"/>
          <w:szCs w:val="22"/>
          <w:lang w:val="en-US"/>
        </w:rPr>
        <w:t>CLI for IAB</w:t>
      </w:r>
      <w:r w:rsidRPr="00186011">
        <w:rPr>
          <w:sz w:val="22"/>
          <w:szCs w:val="22"/>
          <w:lang w:val="en-US"/>
        </w:rPr>
        <w:t xml:space="preserve"> was agreed in the last RAN4 WF [1]:</w:t>
      </w:r>
    </w:p>
    <w:p w14:paraId="55499BEA" w14:textId="77777777" w:rsidR="006C7779" w:rsidRPr="000E3B40" w:rsidRDefault="006C7779" w:rsidP="000E3B40">
      <w:pPr>
        <w:pStyle w:val="ListParagraph"/>
        <w:numPr>
          <w:ilvl w:val="0"/>
          <w:numId w:val="44"/>
        </w:numPr>
        <w:pBdr>
          <w:top w:val="single" w:sz="4" w:space="1" w:color="auto"/>
        </w:pBdr>
        <w:spacing w:before="240"/>
        <w:rPr>
          <w:rFonts w:ascii="Times New Roman" w:hAnsi="Times New Roman"/>
          <w:i/>
          <w:iCs/>
          <w:lang w:eastAsia="zh-CN"/>
        </w:rPr>
      </w:pPr>
      <w:r w:rsidRPr="000E3B40">
        <w:rPr>
          <w:rFonts w:ascii="Times New Roman" w:hAnsi="Times New Roman"/>
          <w:i/>
          <w:iCs/>
          <w:szCs w:val="22"/>
          <w:lang w:eastAsia="zh-CN"/>
        </w:rPr>
        <w:t>Option 1:  RAN4 needs to define CLI measurement requirements subjecting to RAN1/2 design on mechanisms for assisting simultaneous operations.</w:t>
      </w:r>
    </w:p>
    <w:p w14:paraId="423BB4A9" w14:textId="0E3C79B8" w:rsidR="00082522" w:rsidRPr="006C5183" w:rsidRDefault="006C7779" w:rsidP="006C5183">
      <w:pPr>
        <w:pStyle w:val="ListParagraph"/>
        <w:numPr>
          <w:ilvl w:val="0"/>
          <w:numId w:val="44"/>
        </w:numPr>
        <w:pBdr>
          <w:bottom w:val="single" w:sz="4" w:space="1" w:color="auto"/>
        </w:pBdr>
        <w:spacing w:before="120"/>
        <w:ind w:left="357" w:hanging="357"/>
        <w:contextualSpacing w:val="0"/>
        <w:rPr>
          <w:rFonts w:ascii="Times New Roman" w:hAnsi="Times New Roman"/>
          <w:i/>
          <w:iCs/>
          <w:lang w:eastAsia="zh-CN"/>
        </w:rPr>
      </w:pPr>
      <w:r w:rsidRPr="000E3B40">
        <w:rPr>
          <w:rFonts w:ascii="Times New Roman" w:hAnsi="Times New Roman"/>
          <w:i/>
          <w:iCs/>
          <w:szCs w:val="22"/>
          <w:lang w:eastAsia="zh-CN"/>
        </w:rPr>
        <w:t>Option 2: For CLI measurements by IAB-MT, no RRM requirements need to be specified.</w:t>
      </w:r>
    </w:p>
    <w:p w14:paraId="4C537595" w14:textId="77777777" w:rsidR="00DF701A" w:rsidRDefault="006C5183" w:rsidP="003038F6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approved RAN1 </w:t>
      </w:r>
      <w:r w:rsidR="0087264F">
        <w:rPr>
          <w:sz w:val="22"/>
          <w:szCs w:val="22"/>
          <w:lang w:val="en-US"/>
        </w:rPr>
        <w:t xml:space="preserve">IAB </w:t>
      </w:r>
      <w:r>
        <w:rPr>
          <w:sz w:val="22"/>
          <w:szCs w:val="22"/>
          <w:lang w:val="en-US"/>
        </w:rPr>
        <w:t>CR the</w:t>
      </w:r>
      <w:r w:rsidR="0087264F">
        <w:rPr>
          <w:sz w:val="22"/>
          <w:szCs w:val="22"/>
          <w:lang w:val="en-US"/>
        </w:rPr>
        <w:t xml:space="preserve">re is no </w:t>
      </w:r>
      <w:r w:rsidR="002C5CF5">
        <w:rPr>
          <w:sz w:val="22"/>
          <w:szCs w:val="22"/>
          <w:lang w:val="en-US"/>
        </w:rPr>
        <w:t xml:space="preserve">new IAB specific procedure for CLI measurements </w:t>
      </w:r>
      <w:r>
        <w:rPr>
          <w:sz w:val="22"/>
          <w:szCs w:val="22"/>
          <w:lang w:val="en-US"/>
        </w:rPr>
        <w:t>[</w:t>
      </w:r>
      <w:r w:rsidR="009C07D1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]</w:t>
      </w:r>
      <w:r w:rsidR="002C5CF5">
        <w:rPr>
          <w:sz w:val="22"/>
          <w:szCs w:val="22"/>
          <w:lang w:val="en-US"/>
        </w:rPr>
        <w:t xml:space="preserve">. </w:t>
      </w:r>
    </w:p>
    <w:p w14:paraId="05ABD8AE" w14:textId="6BAE9404" w:rsidR="00DF701A" w:rsidRDefault="00DF701A" w:rsidP="003038F6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previous RAN1 agreement related to CLI, there </w:t>
      </w:r>
      <w:r w:rsidR="002549A0">
        <w:rPr>
          <w:sz w:val="22"/>
          <w:szCs w:val="22"/>
          <w:lang w:val="en-US"/>
        </w:rPr>
        <w:t xml:space="preserve">is impact on </w:t>
      </w:r>
      <w:r w:rsidR="00852573">
        <w:rPr>
          <w:sz w:val="22"/>
          <w:szCs w:val="22"/>
          <w:lang w:val="en-US"/>
        </w:rPr>
        <w:t>RAN2/</w:t>
      </w:r>
      <w:r w:rsidR="002549A0">
        <w:rPr>
          <w:sz w:val="22"/>
          <w:szCs w:val="22"/>
          <w:lang w:val="en-US"/>
        </w:rPr>
        <w:t>RAN3 signaling:</w:t>
      </w:r>
    </w:p>
    <w:p w14:paraId="155E1F2D" w14:textId="77777777" w:rsidR="004F070D" w:rsidRPr="00651FE3" w:rsidRDefault="004F070D" w:rsidP="00792C5E">
      <w:pPr>
        <w:pStyle w:val="BodyText"/>
        <w:pBdr>
          <w:top w:val="single" w:sz="4" w:space="1" w:color="auto"/>
        </w:pBdr>
        <w:spacing w:before="240"/>
        <w:rPr>
          <w:b/>
          <w:bCs/>
          <w:i/>
          <w:iCs/>
          <w:sz w:val="18"/>
          <w:szCs w:val="18"/>
          <w:shd w:val="clear" w:color="auto" w:fill="00FF00"/>
          <w:lang w:val="en-US"/>
        </w:rPr>
      </w:pPr>
      <w:r w:rsidRPr="00651FE3">
        <w:rPr>
          <w:b/>
          <w:bCs/>
          <w:i/>
          <w:iCs/>
          <w:sz w:val="18"/>
          <w:szCs w:val="18"/>
          <w:shd w:val="clear" w:color="auto" w:fill="00FF00"/>
          <w:lang w:val="en-US"/>
        </w:rPr>
        <w:t>Agreement</w:t>
      </w:r>
      <w:r w:rsidRPr="00651FE3">
        <w:rPr>
          <w:b/>
          <w:bCs/>
          <w:i/>
          <w:iCs/>
          <w:sz w:val="18"/>
          <w:szCs w:val="18"/>
          <w:lang w:val="en-US"/>
        </w:rPr>
        <w:t xml:space="preserve"> </w:t>
      </w:r>
    </w:p>
    <w:p w14:paraId="39F9A6BF" w14:textId="1C7194A6" w:rsidR="004F070D" w:rsidRPr="00651FE3" w:rsidRDefault="004F070D" w:rsidP="004F070D">
      <w:pPr>
        <w:spacing w:after="59" w:line="249" w:lineRule="auto"/>
        <w:ind w:left="-5" w:right="9" w:hanging="10"/>
        <w:rPr>
          <w:i/>
          <w:iCs/>
          <w:color w:val="000000"/>
          <w:sz w:val="18"/>
          <w:szCs w:val="18"/>
          <w:lang w:val="en-US"/>
        </w:rPr>
      </w:pPr>
      <w:r w:rsidRPr="00ED4F29">
        <w:rPr>
          <w:i/>
          <w:iCs/>
          <w:color w:val="000000"/>
          <w:sz w:val="18"/>
          <w:szCs w:val="18"/>
          <w:lang w:val="en-US"/>
        </w:rPr>
        <w:t xml:space="preserve">Rel-16 CLI coordination </w:t>
      </w:r>
      <w:proofErr w:type="spellStart"/>
      <w:r w:rsidRPr="00ED4F29">
        <w:rPr>
          <w:i/>
          <w:iCs/>
          <w:color w:val="000000"/>
          <w:sz w:val="18"/>
          <w:szCs w:val="18"/>
          <w:lang w:val="en-US"/>
        </w:rPr>
        <w:t>signalling</w:t>
      </w:r>
      <w:proofErr w:type="spellEnd"/>
      <w:r w:rsidRPr="00ED4F29">
        <w:rPr>
          <w:i/>
          <w:iCs/>
          <w:color w:val="000000"/>
          <w:sz w:val="18"/>
          <w:szCs w:val="18"/>
          <w:lang w:val="en-US"/>
        </w:rPr>
        <w:t xml:space="preserve"> (Intended TDD DL-UL Configuration) is extended to support IAB specific UFD patterns.  </w:t>
      </w:r>
    </w:p>
    <w:p w14:paraId="397EBC10" w14:textId="02508DE4" w:rsidR="004F070D" w:rsidRDefault="004F070D" w:rsidP="004F070D">
      <w:pPr>
        <w:shd w:val="clear" w:color="auto" w:fill="FFFFFF"/>
        <w:spacing w:before="120"/>
        <w:rPr>
          <w:b/>
          <w:bCs/>
          <w:i/>
          <w:iCs/>
          <w:color w:val="242424"/>
          <w:sz w:val="18"/>
          <w:szCs w:val="18"/>
          <w:shd w:val="clear" w:color="auto" w:fill="00FF00"/>
          <w:lang w:val="en-US"/>
        </w:rPr>
      </w:pPr>
      <w:r w:rsidRPr="00651FE3">
        <w:rPr>
          <w:b/>
          <w:bCs/>
          <w:i/>
          <w:iCs/>
          <w:color w:val="242424"/>
          <w:sz w:val="18"/>
          <w:szCs w:val="18"/>
          <w:shd w:val="clear" w:color="auto" w:fill="00FF00"/>
          <w:lang w:val="en-US"/>
        </w:rPr>
        <w:t>A</w:t>
      </w:r>
      <w:r w:rsidRPr="00A87546">
        <w:rPr>
          <w:b/>
          <w:bCs/>
          <w:i/>
          <w:iCs/>
          <w:color w:val="242424"/>
          <w:sz w:val="18"/>
          <w:szCs w:val="18"/>
          <w:shd w:val="clear" w:color="auto" w:fill="00FF00"/>
          <w:lang w:val="en-US"/>
        </w:rPr>
        <w:t>greement</w:t>
      </w:r>
    </w:p>
    <w:p w14:paraId="0F72502F" w14:textId="114AF114" w:rsidR="00BA13BF" w:rsidRPr="00BA13BF" w:rsidRDefault="00BA13BF" w:rsidP="00BA13BF">
      <w:pPr>
        <w:spacing w:before="240"/>
        <w:rPr>
          <w:i/>
          <w:iCs/>
          <w:sz w:val="18"/>
          <w:szCs w:val="18"/>
          <w:lang w:val="en-US"/>
        </w:rPr>
      </w:pPr>
      <w:r w:rsidRPr="00BA13BF">
        <w:rPr>
          <w:i/>
          <w:iCs/>
          <w:sz w:val="18"/>
          <w:szCs w:val="18"/>
          <w:lang w:val="en-US"/>
        </w:rPr>
        <w:t xml:space="preserve">Support the exchange of semi-static Rel-16 IAB-DU H/S/NA resource configuration information and Rel-17 frequency domain IAB-DU H/S/NA resource configuration information among </w:t>
      </w:r>
      <w:proofErr w:type="spellStart"/>
      <w:r w:rsidRPr="00BA13BF">
        <w:rPr>
          <w:i/>
          <w:iCs/>
          <w:sz w:val="18"/>
          <w:szCs w:val="18"/>
          <w:lang w:val="en-US"/>
        </w:rPr>
        <w:t>neighbouring</w:t>
      </w:r>
      <w:proofErr w:type="spellEnd"/>
      <w:r w:rsidRPr="00BA13BF">
        <w:rPr>
          <w:i/>
          <w:iCs/>
          <w:sz w:val="18"/>
          <w:szCs w:val="18"/>
          <w:lang w:val="en-US"/>
        </w:rPr>
        <w:t xml:space="preserve"> IAB-nodes/IAB-donor</w:t>
      </w:r>
    </w:p>
    <w:p w14:paraId="31F00CA5" w14:textId="77777777" w:rsidR="004F070D" w:rsidRPr="00651FE3" w:rsidRDefault="004F070D" w:rsidP="00BA13BF">
      <w:pPr>
        <w:pStyle w:val="BodyText"/>
        <w:spacing w:before="240"/>
        <w:rPr>
          <w:b/>
          <w:bCs/>
          <w:i/>
          <w:iCs/>
          <w:sz w:val="18"/>
          <w:szCs w:val="18"/>
          <w:shd w:val="clear" w:color="auto" w:fill="00FF00"/>
          <w:lang w:val="en-US"/>
        </w:rPr>
      </w:pPr>
      <w:r w:rsidRPr="00651FE3">
        <w:rPr>
          <w:b/>
          <w:bCs/>
          <w:i/>
          <w:iCs/>
          <w:sz w:val="18"/>
          <w:szCs w:val="18"/>
          <w:shd w:val="clear" w:color="auto" w:fill="00FF00"/>
          <w:lang w:val="en-US"/>
        </w:rPr>
        <w:t>Agreement</w:t>
      </w:r>
      <w:r w:rsidRPr="00651FE3">
        <w:rPr>
          <w:b/>
          <w:bCs/>
          <w:i/>
          <w:iCs/>
          <w:sz w:val="18"/>
          <w:szCs w:val="18"/>
          <w:lang w:val="en-US"/>
        </w:rPr>
        <w:t xml:space="preserve"> </w:t>
      </w:r>
    </w:p>
    <w:p w14:paraId="6121DCE6" w14:textId="77777777" w:rsidR="004F070D" w:rsidRPr="008854EA" w:rsidRDefault="004F070D" w:rsidP="004F070D">
      <w:pPr>
        <w:spacing w:after="56" w:line="249" w:lineRule="auto"/>
        <w:ind w:left="-5" w:right="9" w:hanging="10"/>
        <w:rPr>
          <w:i/>
          <w:iCs/>
          <w:color w:val="000000"/>
          <w:sz w:val="18"/>
          <w:szCs w:val="18"/>
          <w:lang w:val="en-US"/>
        </w:rPr>
      </w:pPr>
      <w:r w:rsidRPr="008854EA">
        <w:rPr>
          <w:i/>
          <w:iCs/>
          <w:color w:val="000000"/>
          <w:sz w:val="18"/>
          <w:szCs w:val="18"/>
          <w:lang w:val="en-US"/>
        </w:rPr>
        <w:t xml:space="preserve">For the support of DU-to-DU measurement and report: </w:t>
      </w:r>
    </w:p>
    <w:p w14:paraId="6B243DEA" w14:textId="77777777" w:rsidR="004F070D" w:rsidRPr="008854EA" w:rsidRDefault="004F070D" w:rsidP="004F070D">
      <w:pPr>
        <w:numPr>
          <w:ilvl w:val="0"/>
          <w:numId w:val="39"/>
        </w:numPr>
        <w:spacing w:after="55" w:line="249" w:lineRule="auto"/>
        <w:ind w:right="549"/>
        <w:rPr>
          <w:i/>
          <w:iCs/>
          <w:color w:val="000000"/>
          <w:sz w:val="18"/>
          <w:szCs w:val="18"/>
          <w:lang w:val="en-US"/>
        </w:rPr>
      </w:pPr>
      <w:r w:rsidRPr="008854EA">
        <w:rPr>
          <w:i/>
          <w:iCs/>
          <w:color w:val="000000"/>
          <w:sz w:val="18"/>
          <w:szCs w:val="18"/>
          <w:lang w:val="en-US"/>
        </w:rPr>
        <w:t xml:space="preserve">For DU-to-DU CLI measurement: </w:t>
      </w:r>
      <w:r w:rsidRPr="008854EA">
        <w:rPr>
          <w:rFonts w:eastAsia="Courier New"/>
          <w:i/>
          <w:iCs/>
          <w:color w:val="000000"/>
          <w:sz w:val="18"/>
          <w:szCs w:val="18"/>
          <w:lang w:val="en-US"/>
        </w:rPr>
        <w:t>o</w:t>
      </w:r>
      <w:r w:rsidRPr="008854EA">
        <w:rPr>
          <w:rFonts w:eastAsia="Arial"/>
          <w:i/>
          <w:iCs/>
          <w:color w:val="000000"/>
          <w:sz w:val="18"/>
          <w:szCs w:val="18"/>
          <w:lang w:val="en-US"/>
        </w:rPr>
        <w:t xml:space="preserve"> </w:t>
      </w:r>
      <w:r w:rsidRPr="008854EA">
        <w:rPr>
          <w:rFonts w:eastAsia="Arial"/>
          <w:i/>
          <w:iCs/>
          <w:color w:val="000000"/>
          <w:sz w:val="18"/>
          <w:szCs w:val="18"/>
          <w:lang w:val="en-US"/>
        </w:rPr>
        <w:tab/>
      </w:r>
      <w:r w:rsidRPr="008854EA">
        <w:rPr>
          <w:i/>
          <w:iCs/>
          <w:color w:val="000000"/>
          <w:sz w:val="18"/>
          <w:szCs w:val="18"/>
          <w:lang w:val="en-US"/>
        </w:rPr>
        <w:t xml:space="preserve">Option 1.1. no specific mechanism is specified (e.g., it is handled by the implementation, or the available techniques) </w:t>
      </w:r>
    </w:p>
    <w:p w14:paraId="1C66231F" w14:textId="57107BF7" w:rsidR="004F070D" w:rsidRPr="00792C5E" w:rsidRDefault="004F070D" w:rsidP="00792C5E">
      <w:pPr>
        <w:numPr>
          <w:ilvl w:val="0"/>
          <w:numId w:val="39"/>
        </w:numPr>
        <w:pBdr>
          <w:bottom w:val="single" w:sz="4" w:space="1" w:color="auto"/>
        </w:pBdr>
        <w:spacing w:after="5" w:line="249" w:lineRule="auto"/>
        <w:ind w:right="549"/>
        <w:rPr>
          <w:i/>
          <w:iCs/>
          <w:color w:val="000000"/>
          <w:sz w:val="18"/>
          <w:szCs w:val="18"/>
          <w:lang w:val="en-US"/>
        </w:rPr>
      </w:pPr>
      <w:r w:rsidRPr="008854EA">
        <w:rPr>
          <w:i/>
          <w:iCs/>
          <w:color w:val="000000"/>
          <w:sz w:val="18"/>
          <w:szCs w:val="18"/>
          <w:lang w:val="en-US"/>
        </w:rPr>
        <w:t xml:space="preserve">For DU-to-DU CLI report: </w:t>
      </w:r>
      <w:r w:rsidRPr="008854EA">
        <w:rPr>
          <w:rFonts w:eastAsia="Courier New"/>
          <w:i/>
          <w:iCs/>
          <w:color w:val="000000"/>
          <w:sz w:val="18"/>
          <w:szCs w:val="18"/>
          <w:lang w:val="en-US"/>
        </w:rPr>
        <w:t>o</w:t>
      </w:r>
      <w:r w:rsidRPr="008854EA">
        <w:rPr>
          <w:rFonts w:eastAsia="Arial"/>
          <w:i/>
          <w:iCs/>
          <w:color w:val="000000"/>
          <w:sz w:val="18"/>
          <w:szCs w:val="18"/>
          <w:lang w:val="en-US"/>
        </w:rPr>
        <w:t xml:space="preserve"> </w:t>
      </w:r>
      <w:r w:rsidRPr="008854EA">
        <w:rPr>
          <w:rFonts w:eastAsia="Arial"/>
          <w:i/>
          <w:iCs/>
          <w:color w:val="000000"/>
          <w:sz w:val="18"/>
          <w:szCs w:val="18"/>
          <w:lang w:val="en-US"/>
        </w:rPr>
        <w:tab/>
      </w:r>
      <w:r w:rsidRPr="008854EA">
        <w:rPr>
          <w:i/>
          <w:iCs/>
          <w:color w:val="000000"/>
          <w:sz w:val="18"/>
          <w:szCs w:val="18"/>
          <w:lang w:val="en-US"/>
        </w:rPr>
        <w:t xml:space="preserve">Option 2.1. no specific mechanism is specified (e.g., it is handled by the implementation, or the available techniques) </w:t>
      </w:r>
    </w:p>
    <w:p w14:paraId="638605D5" w14:textId="171CDAD1" w:rsidR="008854EA" w:rsidRPr="003038F6" w:rsidRDefault="003038F6" w:rsidP="003038F6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RAN2</w:t>
      </w:r>
      <w:r w:rsidR="00792C5E">
        <w:rPr>
          <w:sz w:val="22"/>
          <w:szCs w:val="22"/>
          <w:lang w:val="en-US"/>
        </w:rPr>
        <w:t>/RAN3</w:t>
      </w:r>
      <w:r>
        <w:rPr>
          <w:sz w:val="22"/>
          <w:szCs w:val="22"/>
          <w:lang w:val="en-US"/>
        </w:rPr>
        <w:t xml:space="preserve"> signaling to support CLI measurements </w:t>
      </w:r>
      <w:r>
        <w:rPr>
          <w:bCs/>
          <w:sz w:val="22"/>
          <w:szCs w:val="22"/>
          <w:lang w:val="en-US" w:eastAsia="zh-CN"/>
        </w:rPr>
        <w:t xml:space="preserve">will </w:t>
      </w:r>
      <w:r w:rsidR="00570256">
        <w:rPr>
          <w:bCs/>
          <w:sz w:val="22"/>
          <w:szCs w:val="22"/>
          <w:lang w:val="en-US" w:eastAsia="zh-CN"/>
        </w:rPr>
        <w:t xml:space="preserve">fundamentally be </w:t>
      </w:r>
      <w:r w:rsidR="00651FE3">
        <w:rPr>
          <w:bCs/>
          <w:sz w:val="22"/>
          <w:szCs w:val="22"/>
          <w:lang w:val="en-US" w:eastAsia="zh-CN"/>
        </w:rPr>
        <w:t xml:space="preserve">based on </w:t>
      </w:r>
      <w:r>
        <w:rPr>
          <w:bCs/>
          <w:sz w:val="22"/>
          <w:szCs w:val="22"/>
          <w:lang w:val="en-US" w:eastAsia="zh-CN"/>
        </w:rPr>
        <w:t xml:space="preserve">the </w:t>
      </w:r>
      <w:r w:rsidR="00651FE3">
        <w:rPr>
          <w:bCs/>
          <w:sz w:val="22"/>
          <w:szCs w:val="22"/>
          <w:lang w:val="en-US" w:eastAsia="zh-CN"/>
        </w:rPr>
        <w:t>existing Rel-16 CLI solutions for UE</w:t>
      </w:r>
      <w:r w:rsidR="00037A39">
        <w:rPr>
          <w:bCs/>
          <w:sz w:val="22"/>
          <w:szCs w:val="22"/>
          <w:lang w:val="en-US" w:eastAsia="zh-CN"/>
        </w:rPr>
        <w:t xml:space="preserve">. RAN4 has defined </w:t>
      </w:r>
      <w:r w:rsidR="00007A74">
        <w:rPr>
          <w:bCs/>
          <w:sz w:val="22"/>
          <w:szCs w:val="22"/>
          <w:lang w:val="en-US" w:eastAsia="zh-CN"/>
        </w:rPr>
        <w:t xml:space="preserve">RRM requirements for </w:t>
      </w:r>
      <w:r w:rsidR="0060385C">
        <w:rPr>
          <w:bCs/>
          <w:sz w:val="22"/>
          <w:szCs w:val="22"/>
          <w:lang w:val="en-US" w:eastAsia="zh-CN"/>
        </w:rPr>
        <w:t xml:space="preserve">UE </w:t>
      </w:r>
      <w:r w:rsidR="00007A74">
        <w:rPr>
          <w:bCs/>
          <w:sz w:val="22"/>
          <w:szCs w:val="22"/>
          <w:lang w:val="en-US" w:eastAsia="zh-CN"/>
        </w:rPr>
        <w:t xml:space="preserve">CLI </w:t>
      </w:r>
      <w:r w:rsidR="001F183A">
        <w:rPr>
          <w:bCs/>
          <w:sz w:val="22"/>
          <w:szCs w:val="22"/>
          <w:lang w:val="en-US" w:eastAsia="zh-CN"/>
        </w:rPr>
        <w:t>measurements (</w:t>
      </w:r>
      <w:r w:rsidR="0060385C">
        <w:rPr>
          <w:bCs/>
          <w:sz w:val="22"/>
          <w:szCs w:val="22"/>
          <w:lang w:val="en-US" w:eastAsia="zh-CN"/>
        </w:rPr>
        <w:t xml:space="preserve">SRS-RSRP and RSSI). </w:t>
      </w:r>
      <w:r w:rsidR="00004B66">
        <w:rPr>
          <w:bCs/>
          <w:sz w:val="22"/>
          <w:szCs w:val="22"/>
          <w:lang w:val="en-US" w:eastAsia="zh-CN"/>
        </w:rPr>
        <w:t xml:space="preserve">As </w:t>
      </w:r>
      <w:proofErr w:type="spellStart"/>
      <w:r w:rsidR="00004B66">
        <w:rPr>
          <w:bCs/>
          <w:sz w:val="22"/>
          <w:szCs w:val="22"/>
          <w:lang w:val="en-US" w:eastAsia="zh-CN"/>
        </w:rPr>
        <w:t>analzed</w:t>
      </w:r>
      <w:proofErr w:type="spellEnd"/>
      <w:r w:rsidR="00004B66">
        <w:rPr>
          <w:bCs/>
          <w:sz w:val="22"/>
          <w:szCs w:val="22"/>
          <w:lang w:val="en-US" w:eastAsia="zh-CN"/>
        </w:rPr>
        <w:t xml:space="preserve"> in our previous contribution that </w:t>
      </w:r>
      <w:r w:rsidR="0060385C">
        <w:rPr>
          <w:bCs/>
          <w:sz w:val="22"/>
          <w:szCs w:val="22"/>
          <w:lang w:val="en-US" w:eastAsia="zh-CN"/>
        </w:rPr>
        <w:t>for IAB</w:t>
      </w:r>
      <w:r w:rsidR="00004B66">
        <w:rPr>
          <w:bCs/>
          <w:sz w:val="22"/>
          <w:szCs w:val="22"/>
          <w:lang w:val="en-US" w:eastAsia="zh-CN"/>
        </w:rPr>
        <w:t xml:space="preserve">, </w:t>
      </w:r>
      <w:r w:rsidR="0060385C">
        <w:rPr>
          <w:bCs/>
          <w:sz w:val="22"/>
          <w:szCs w:val="22"/>
          <w:lang w:val="en-US" w:eastAsia="zh-CN"/>
        </w:rPr>
        <w:t xml:space="preserve">RAN4 concluded in Rel-16 not to specify measurement requirements for IAB-MT related measurements. </w:t>
      </w:r>
      <w:r w:rsidR="004C4505">
        <w:rPr>
          <w:bCs/>
          <w:sz w:val="22"/>
          <w:szCs w:val="22"/>
          <w:lang w:val="en-US" w:eastAsia="zh-CN"/>
        </w:rPr>
        <w:t xml:space="preserve">The main reason is </w:t>
      </w:r>
      <w:r w:rsidR="00D32F4F">
        <w:rPr>
          <w:bCs/>
          <w:sz w:val="22"/>
          <w:szCs w:val="22"/>
          <w:lang w:val="en-US" w:eastAsia="zh-CN"/>
        </w:rPr>
        <w:t xml:space="preserve">that the specification of CLI requirements will limit </w:t>
      </w:r>
      <w:r w:rsidR="00D83008">
        <w:rPr>
          <w:bCs/>
          <w:sz w:val="22"/>
          <w:szCs w:val="22"/>
          <w:lang w:val="en-US" w:eastAsia="zh-CN"/>
        </w:rPr>
        <w:t xml:space="preserve">the </w:t>
      </w:r>
      <w:r w:rsidR="004C4505">
        <w:rPr>
          <w:bCs/>
          <w:sz w:val="22"/>
          <w:szCs w:val="22"/>
          <w:lang w:val="en-US" w:eastAsia="zh-CN"/>
        </w:rPr>
        <w:t>IAB implementation</w:t>
      </w:r>
      <w:r w:rsidR="004B6C53">
        <w:rPr>
          <w:bCs/>
          <w:sz w:val="22"/>
          <w:szCs w:val="22"/>
          <w:lang w:val="en-US" w:eastAsia="zh-CN"/>
        </w:rPr>
        <w:t xml:space="preserve"> flexibility</w:t>
      </w:r>
      <w:r w:rsidR="004C4505">
        <w:rPr>
          <w:bCs/>
          <w:sz w:val="22"/>
          <w:szCs w:val="22"/>
          <w:lang w:val="en-US" w:eastAsia="zh-CN"/>
        </w:rPr>
        <w:t xml:space="preserve">. </w:t>
      </w:r>
      <w:r w:rsidR="00D83008">
        <w:rPr>
          <w:bCs/>
          <w:sz w:val="22"/>
          <w:szCs w:val="22"/>
          <w:lang w:val="en-US" w:eastAsia="zh-CN"/>
        </w:rPr>
        <w:t xml:space="preserve">Unlike, </w:t>
      </w:r>
      <w:r w:rsidR="00925FAC">
        <w:rPr>
          <w:bCs/>
          <w:sz w:val="22"/>
          <w:szCs w:val="22"/>
          <w:lang w:val="en-US" w:eastAsia="zh-CN"/>
        </w:rPr>
        <w:t xml:space="preserve">the </w:t>
      </w:r>
      <w:r w:rsidR="00D83008">
        <w:rPr>
          <w:bCs/>
          <w:sz w:val="22"/>
          <w:szCs w:val="22"/>
          <w:lang w:val="en-US" w:eastAsia="zh-CN"/>
        </w:rPr>
        <w:t xml:space="preserve">UE, </w:t>
      </w:r>
      <w:r w:rsidR="00925FAC">
        <w:rPr>
          <w:bCs/>
          <w:sz w:val="22"/>
          <w:szCs w:val="22"/>
          <w:lang w:val="en-US" w:eastAsia="zh-CN"/>
        </w:rPr>
        <w:t xml:space="preserve">which moves around, </w:t>
      </w:r>
      <w:r w:rsidR="00D83008">
        <w:rPr>
          <w:bCs/>
          <w:sz w:val="22"/>
          <w:szCs w:val="22"/>
          <w:lang w:val="en-US" w:eastAsia="zh-CN"/>
        </w:rPr>
        <w:t>the IAB is</w:t>
      </w:r>
      <w:r w:rsidR="00925FAC">
        <w:rPr>
          <w:bCs/>
          <w:sz w:val="22"/>
          <w:szCs w:val="22"/>
          <w:lang w:val="en-US" w:eastAsia="zh-CN"/>
        </w:rPr>
        <w:t xml:space="preserve"> fixed node.</w:t>
      </w:r>
      <w:r w:rsidR="00D83008">
        <w:rPr>
          <w:bCs/>
          <w:sz w:val="22"/>
          <w:szCs w:val="22"/>
          <w:lang w:val="en-US" w:eastAsia="zh-CN"/>
        </w:rPr>
        <w:t xml:space="preserve"> </w:t>
      </w:r>
      <w:r w:rsidR="00925FAC">
        <w:rPr>
          <w:bCs/>
          <w:sz w:val="22"/>
          <w:szCs w:val="22"/>
          <w:lang w:val="en-US" w:eastAsia="zh-CN"/>
        </w:rPr>
        <w:t xml:space="preserve">The need for </w:t>
      </w:r>
      <w:r w:rsidR="001C6CF0">
        <w:rPr>
          <w:bCs/>
          <w:sz w:val="22"/>
          <w:szCs w:val="22"/>
          <w:lang w:val="en-US" w:eastAsia="zh-CN"/>
        </w:rPr>
        <w:t xml:space="preserve">CLI requirements will depend on the actual deployment scenario. </w:t>
      </w:r>
      <w:r w:rsidR="0083019C">
        <w:rPr>
          <w:bCs/>
          <w:sz w:val="22"/>
          <w:szCs w:val="22"/>
          <w:lang w:val="en-US" w:eastAsia="zh-CN"/>
        </w:rPr>
        <w:t xml:space="preserve">Therefore, in </w:t>
      </w:r>
      <w:r w:rsidR="0060385C">
        <w:rPr>
          <w:bCs/>
          <w:sz w:val="22"/>
          <w:szCs w:val="22"/>
          <w:lang w:val="en-US" w:eastAsia="zh-CN"/>
        </w:rPr>
        <w:t>our view the same conclusion should apply for CLI based measurements for IAB-MT.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23F132DC" w14:textId="07DA919D" w:rsidR="001C1D0D" w:rsidRPr="00D83109" w:rsidRDefault="00D53884" w:rsidP="003C4CA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D83109">
        <w:rPr>
          <w:sz w:val="22"/>
          <w:szCs w:val="22"/>
          <w:lang w:val="en-US"/>
        </w:rPr>
        <w:t>:</w:t>
      </w:r>
    </w:p>
    <w:p w14:paraId="57C76E37" w14:textId="01D2A6EF" w:rsidR="00DE6850" w:rsidRPr="00171316" w:rsidRDefault="00E274C4" w:rsidP="00DE6850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Case 1</w:t>
      </w:r>
      <w:r w:rsidR="0026784B">
        <w:rPr>
          <w:b/>
          <w:bCs/>
          <w:sz w:val="20"/>
          <w:szCs w:val="20"/>
          <w:u w:val="single"/>
        </w:rPr>
        <w:t xml:space="preserve"> and 7 </w:t>
      </w:r>
      <w:r>
        <w:rPr>
          <w:b/>
          <w:bCs/>
          <w:sz w:val="20"/>
          <w:szCs w:val="20"/>
          <w:u w:val="single"/>
        </w:rPr>
        <w:t>t</w:t>
      </w:r>
      <w:r w:rsidR="00DE6850" w:rsidRPr="00171316">
        <w:rPr>
          <w:b/>
          <w:bCs/>
          <w:sz w:val="20"/>
          <w:szCs w:val="20"/>
          <w:u w:val="single"/>
        </w:rPr>
        <w:t>iming</w:t>
      </w:r>
      <w:r>
        <w:rPr>
          <w:b/>
          <w:bCs/>
          <w:sz w:val="20"/>
          <w:szCs w:val="20"/>
          <w:u w:val="single"/>
        </w:rPr>
        <w:t>s</w:t>
      </w:r>
      <w:r w:rsidR="00DE6850" w:rsidRPr="00171316">
        <w:rPr>
          <w:b/>
          <w:bCs/>
          <w:sz w:val="20"/>
          <w:szCs w:val="20"/>
          <w:u w:val="single"/>
        </w:rPr>
        <w:t>:</w:t>
      </w:r>
    </w:p>
    <w:p w14:paraId="127B70C5" w14:textId="7CFD05B1" w:rsidR="006576A9" w:rsidRDefault="0051325E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E274C4">
        <w:rPr>
          <w:rFonts w:ascii="Times New Roman" w:hAnsi="Times New Roman"/>
          <w:b/>
          <w:bCs/>
          <w:sz w:val="20"/>
          <w:szCs w:val="20"/>
        </w:rPr>
        <w:t>1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E274C4">
        <w:rPr>
          <w:rFonts w:ascii="Times New Roman" w:hAnsi="Times New Roman"/>
          <w:sz w:val="20"/>
          <w:szCs w:val="20"/>
        </w:rPr>
        <w:t xml:space="preserve">RAN1 has specified procedures for Case #1, </w:t>
      </w:r>
      <w:r w:rsidR="00C904E4" w:rsidRPr="00171316">
        <w:rPr>
          <w:rFonts w:ascii="Times New Roman" w:hAnsi="Times New Roman"/>
          <w:sz w:val="20"/>
          <w:szCs w:val="20"/>
        </w:rPr>
        <w:t xml:space="preserve">Case </w:t>
      </w:r>
      <w:proofErr w:type="gramStart"/>
      <w:r w:rsidR="00C904E4" w:rsidRPr="00171316">
        <w:rPr>
          <w:rFonts w:ascii="Times New Roman" w:hAnsi="Times New Roman"/>
          <w:sz w:val="20"/>
          <w:szCs w:val="20"/>
        </w:rPr>
        <w:t># 6</w:t>
      </w:r>
      <w:proofErr w:type="gramEnd"/>
      <w:r w:rsidR="00C904E4" w:rsidRPr="00171316">
        <w:rPr>
          <w:rFonts w:ascii="Times New Roman" w:hAnsi="Times New Roman"/>
          <w:sz w:val="20"/>
          <w:szCs w:val="20"/>
        </w:rPr>
        <w:t xml:space="preserve"> </w:t>
      </w:r>
      <w:r w:rsidR="00E274C4">
        <w:rPr>
          <w:rFonts w:ascii="Times New Roman" w:hAnsi="Times New Roman"/>
          <w:sz w:val="20"/>
          <w:szCs w:val="20"/>
        </w:rPr>
        <w:t>and Cas</w:t>
      </w:r>
      <w:r w:rsidR="00555D64">
        <w:rPr>
          <w:rFonts w:ascii="Times New Roman" w:hAnsi="Times New Roman"/>
          <w:sz w:val="20"/>
          <w:szCs w:val="20"/>
        </w:rPr>
        <w:t xml:space="preserve">e #7 </w:t>
      </w:r>
      <w:r w:rsidR="00C904E4" w:rsidRPr="00171316">
        <w:rPr>
          <w:rFonts w:ascii="Times New Roman" w:hAnsi="Times New Roman"/>
          <w:sz w:val="20"/>
          <w:szCs w:val="20"/>
        </w:rPr>
        <w:t>timing</w:t>
      </w:r>
      <w:r w:rsidR="00555D64">
        <w:rPr>
          <w:rFonts w:ascii="Times New Roman" w:hAnsi="Times New Roman"/>
          <w:sz w:val="20"/>
          <w:szCs w:val="20"/>
        </w:rPr>
        <w:t>s for IAB-MT</w:t>
      </w:r>
      <w:r w:rsidR="00B3463F">
        <w:rPr>
          <w:rFonts w:ascii="Times New Roman" w:hAnsi="Times New Roman"/>
          <w:sz w:val="20"/>
          <w:szCs w:val="20"/>
        </w:rPr>
        <w:t xml:space="preserve"> transmission timing</w:t>
      </w:r>
      <w:r w:rsidR="00C92232">
        <w:rPr>
          <w:rFonts w:ascii="Times New Roman" w:hAnsi="Times New Roman"/>
          <w:sz w:val="20"/>
          <w:szCs w:val="20"/>
        </w:rPr>
        <w:t xml:space="preserve"> in TS 38.213 v17.0.0</w:t>
      </w:r>
      <w:r w:rsidR="006576A9" w:rsidRPr="00171316">
        <w:rPr>
          <w:rFonts w:ascii="Times New Roman" w:hAnsi="Times New Roman"/>
          <w:sz w:val="20"/>
          <w:szCs w:val="20"/>
        </w:rPr>
        <w:t>.</w:t>
      </w:r>
    </w:p>
    <w:p w14:paraId="5F80E01E" w14:textId="350C58C7" w:rsidR="00C92232" w:rsidRPr="00C92232" w:rsidRDefault="00C92232" w:rsidP="00C9223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171316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Case #1</w:t>
      </w:r>
      <w:r w:rsidR="00E067C9">
        <w:rPr>
          <w:rFonts w:ascii="Times New Roman" w:hAnsi="Times New Roman"/>
          <w:sz w:val="20"/>
          <w:szCs w:val="20"/>
        </w:rPr>
        <w:t xml:space="preserve"> </w:t>
      </w:r>
      <w:r w:rsidRPr="00171316">
        <w:rPr>
          <w:rFonts w:ascii="Times New Roman" w:hAnsi="Times New Roman"/>
          <w:sz w:val="20"/>
          <w:szCs w:val="20"/>
        </w:rPr>
        <w:t>timing</w:t>
      </w:r>
      <w:r>
        <w:rPr>
          <w:rFonts w:ascii="Times New Roman" w:hAnsi="Times New Roman"/>
          <w:sz w:val="20"/>
          <w:szCs w:val="20"/>
        </w:rPr>
        <w:t xml:space="preserve"> for IAB-MT transmission timing</w:t>
      </w:r>
      <w:r w:rsidR="00A3788F">
        <w:rPr>
          <w:rFonts w:ascii="Times New Roman" w:hAnsi="Times New Roman"/>
          <w:sz w:val="20"/>
          <w:szCs w:val="20"/>
        </w:rPr>
        <w:t xml:space="preserve"> is based on the existing UE timing advance mechanism as specified in clause 4.2, TS 38.213</w:t>
      </w:r>
      <w:r w:rsidRPr="00171316">
        <w:rPr>
          <w:rFonts w:ascii="Times New Roman" w:hAnsi="Times New Roman"/>
          <w:sz w:val="20"/>
          <w:szCs w:val="20"/>
        </w:rPr>
        <w:t>.</w:t>
      </w:r>
    </w:p>
    <w:p w14:paraId="2AC5F211" w14:textId="05976A24" w:rsidR="00E067C9" w:rsidRPr="00E067C9" w:rsidRDefault="00E067C9" w:rsidP="00E067C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lastRenderedPageBreak/>
        <w:t xml:space="preserve">Observation </w:t>
      </w:r>
      <w:r w:rsidR="00713F10">
        <w:rPr>
          <w:rFonts w:ascii="Times New Roman" w:hAnsi="Times New Roman"/>
          <w:b/>
          <w:bCs/>
          <w:sz w:val="20"/>
          <w:szCs w:val="20"/>
        </w:rPr>
        <w:t>3</w:t>
      </w:r>
      <w:r w:rsidRPr="00171316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Case #7 </w:t>
      </w:r>
      <w:r w:rsidRPr="00171316">
        <w:rPr>
          <w:rFonts w:ascii="Times New Roman" w:hAnsi="Times New Roman"/>
          <w:sz w:val="20"/>
          <w:szCs w:val="20"/>
        </w:rPr>
        <w:t>timing</w:t>
      </w:r>
      <w:r>
        <w:rPr>
          <w:rFonts w:ascii="Times New Roman" w:hAnsi="Times New Roman"/>
          <w:sz w:val="20"/>
          <w:szCs w:val="20"/>
        </w:rPr>
        <w:t xml:space="preserve"> for IAB-MT transmission timing is also fundamentally based on the existing UE timing advance mechanism as specified in clause 4.2, TS 38.213, except an additional configurable offset (</w:t>
      </w:r>
      <m:oMath>
        <m:sSub>
          <m:sSubPr>
            <m:ctrlPr>
              <w:rPr>
                <w:rFonts w:ascii="Cambria Math" w:eastAsia="SimSun" w:hAnsi="Cambria Math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2"/>
              </w:rPr>
              <m:t>TA,offset,2</m:t>
            </m:r>
          </m:sub>
        </m:sSub>
      </m:oMath>
      <w:r>
        <w:rPr>
          <w:rFonts w:ascii="Times New Roman" w:hAnsi="Times New Roman"/>
          <w:sz w:val="20"/>
          <w:szCs w:val="20"/>
        </w:rPr>
        <w:t>)</w:t>
      </w:r>
      <w:r w:rsidRPr="00171316">
        <w:rPr>
          <w:rFonts w:ascii="Times New Roman" w:hAnsi="Times New Roman"/>
          <w:sz w:val="20"/>
          <w:szCs w:val="20"/>
        </w:rPr>
        <w:t>.</w:t>
      </w:r>
    </w:p>
    <w:p w14:paraId="4A9DEE93" w14:textId="22D05C92" w:rsidR="0051325E" w:rsidRDefault="006576A9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713F10">
        <w:rPr>
          <w:rFonts w:ascii="Times New Roman" w:hAnsi="Times New Roman"/>
          <w:b/>
          <w:bCs/>
          <w:sz w:val="20"/>
          <w:szCs w:val="20"/>
        </w:rPr>
        <w:t>4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D44E67">
        <w:rPr>
          <w:rFonts w:ascii="Times New Roman" w:hAnsi="Times New Roman"/>
          <w:sz w:val="20"/>
          <w:szCs w:val="20"/>
        </w:rPr>
        <w:t>T</w:t>
      </w:r>
      <w:r w:rsidR="00D44E67" w:rsidRPr="00D44E67">
        <w:rPr>
          <w:rFonts w:ascii="Times New Roman" w:hAnsi="Times New Roman"/>
          <w:sz w:val="20"/>
          <w:szCs w:val="20"/>
        </w:rPr>
        <w:t>iming advance step size accuracy requirements</w:t>
      </w:r>
      <w:r w:rsidR="00D44E6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44E67" w:rsidRPr="00D44E67">
        <w:rPr>
          <w:rFonts w:ascii="Times New Roman" w:hAnsi="Times New Roman"/>
          <w:sz w:val="20"/>
          <w:szCs w:val="20"/>
        </w:rPr>
        <w:t>aready</w:t>
      </w:r>
      <w:proofErr w:type="spellEnd"/>
      <w:r w:rsidR="00D44E67" w:rsidRPr="00D44E67">
        <w:rPr>
          <w:rFonts w:ascii="Times New Roman" w:hAnsi="Times New Roman"/>
          <w:sz w:val="20"/>
          <w:szCs w:val="20"/>
        </w:rPr>
        <w:t xml:space="preserve"> exist in clause 12.2.3, TS 38.174</w:t>
      </w:r>
      <w:r w:rsidR="00D44E67">
        <w:rPr>
          <w:rFonts w:ascii="Times New Roman" w:hAnsi="Times New Roman"/>
          <w:sz w:val="20"/>
          <w:szCs w:val="20"/>
        </w:rPr>
        <w:t>.</w:t>
      </w:r>
    </w:p>
    <w:p w14:paraId="40E88CC3" w14:textId="54C9C82A" w:rsidR="00D44E67" w:rsidRDefault="00D44E67" w:rsidP="00D44E6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</w:t>
      </w:r>
      <w:r w:rsidRPr="00171316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#1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The existing t</w:t>
      </w:r>
      <w:r w:rsidRPr="00D44E67">
        <w:rPr>
          <w:rFonts w:ascii="Times New Roman" w:hAnsi="Times New Roman"/>
          <w:sz w:val="20"/>
          <w:szCs w:val="20"/>
        </w:rPr>
        <w:t>iming advance step size accuracy requirements</w:t>
      </w:r>
      <w:r>
        <w:rPr>
          <w:rFonts w:ascii="Times New Roman" w:hAnsi="Times New Roman"/>
          <w:sz w:val="20"/>
          <w:szCs w:val="20"/>
        </w:rPr>
        <w:t xml:space="preserve"> </w:t>
      </w:r>
      <w:r w:rsidRPr="00D44E67">
        <w:rPr>
          <w:rFonts w:ascii="Times New Roman" w:hAnsi="Times New Roman"/>
          <w:sz w:val="20"/>
          <w:szCs w:val="20"/>
        </w:rPr>
        <w:t>in clause 12.2.3, TS 38.174</w:t>
      </w:r>
      <w:r>
        <w:rPr>
          <w:rFonts w:ascii="Times New Roman" w:hAnsi="Times New Roman"/>
          <w:sz w:val="20"/>
          <w:szCs w:val="20"/>
        </w:rPr>
        <w:t xml:space="preserve">, are applicable for Case #1 and Case # 7 timings. </w:t>
      </w:r>
    </w:p>
    <w:p w14:paraId="5C10D9FC" w14:textId="4F6E4CEF" w:rsidR="000228D7" w:rsidRDefault="000228D7" w:rsidP="000228D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</w:t>
      </w:r>
      <w:r w:rsidRPr="00171316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#2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No new RRM requirements </w:t>
      </w:r>
      <w:r w:rsidR="0026784B">
        <w:rPr>
          <w:rFonts w:ascii="Times New Roman" w:hAnsi="Times New Roman"/>
          <w:sz w:val="20"/>
          <w:szCs w:val="20"/>
        </w:rPr>
        <w:t xml:space="preserve">are needed for </w:t>
      </w:r>
      <w:r>
        <w:rPr>
          <w:rFonts w:ascii="Times New Roman" w:hAnsi="Times New Roman"/>
          <w:sz w:val="20"/>
          <w:szCs w:val="20"/>
        </w:rPr>
        <w:t>Case #1 and Case # 7 timing</w:t>
      </w:r>
      <w:r w:rsidR="0026784B">
        <w:rPr>
          <w:rFonts w:ascii="Times New Roman" w:hAnsi="Times New Roman"/>
          <w:sz w:val="20"/>
          <w:szCs w:val="20"/>
        </w:rPr>
        <w:t xml:space="preserve"> procedures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3801942F" w14:textId="21294D2C" w:rsidR="0026784B" w:rsidRPr="00171316" w:rsidRDefault="0026784B" w:rsidP="0026784B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Case 6 t</w:t>
      </w:r>
      <w:r w:rsidRPr="00171316">
        <w:rPr>
          <w:b/>
          <w:bCs/>
          <w:sz w:val="20"/>
          <w:szCs w:val="20"/>
          <w:u w:val="single"/>
        </w:rPr>
        <w:t>iming:</w:t>
      </w:r>
    </w:p>
    <w:p w14:paraId="056B1B35" w14:textId="77777777" w:rsidR="0026784B" w:rsidRDefault="0026784B" w:rsidP="0026784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According to </w:t>
      </w:r>
      <w:r w:rsidRPr="00171316">
        <w:rPr>
          <w:rFonts w:ascii="Times New Roman" w:hAnsi="Times New Roman"/>
          <w:sz w:val="20"/>
          <w:szCs w:val="20"/>
        </w:rPr>
        <w:t xml:space="preserve">Case # 6 timing </w:t>
      </w:r>
      <w:r>
        <w:rPr>
          <w:rFonts w:ascii="Times New Roman" w:hAnsi="Times New Roman"/>
          <w:sz w:val="20"/>
          <w:szCs w:val="20"/>
        </w:rPr>
        <w:t xml:space="preserve">procedure, the </w:t>
      </w:r>
      <w:r w:rsidRPr="009B4619">
        <w:rPr>
          <w:rFonts w:ascii="Times New Roman" w:hAnsi="Times New Roman"/>
          <w:sz w:val="20"/>
          <w:szCs w:val="20"/>
        </w:rPr>
        <w:t>transmission timing of the IAB-MT is set to the transmission timing of the IAB-DU in the same IAB-node</w:t>
      </w:r>
    </w:p>
    <w:p w14:paraId="558A5C3E" w14:textId="03B642A2" w:rsidR="0026784B" w:rsidRPr="0026784B" w:rsidRDefault="0026784B" w:rsidP="0026784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Any relative timing error between the </w:t>
      </w:r>
      <w:r w:rsidRPr="00171316">
        <w:rPr>
          <w:rFonts w:ascii="Times New Roman" w:hAnsi="Times New Roman"/>
          <w:sz w:val="20"/>
          <w:szCs w:val="20"/>
        </w:rPr>
        <w:t xml:space="preserve">transmission </w:t>
      </w:r>
      <w:r>
        <w:rPr>
          <w:rFonts w:ascii="Times New Roman" w:hAnsi="Times New Roman"/>
          <w:sz w:val="20"/>
          <w:szCs w:val="20"/>
        </w:rPr>
        <w:t xml:space="preserve">timings of </w:t>
      </w:r>
      <w:r w:rsidRPr="00171316">
        <w:rPr>
          <w:rFonts w:ascii="Times New Roman" w:hAnsi="Times New Roman"/>
          <w:sz w:val="20"/>
          <w:szCs w:val="20"/>
        </w:rPr>
        <w:t xml:space="preserve">IAB-MT and IAB-DU in the same IAB node </w:t>
      </w:r>
      <w:r>
        <w:rPr>
          <w:rFonts w:ascii="Times New Roman" w:hAnsi="Times New Roman"/>
          <w:sz w:val="20"/>
          <w:szCs w:val="20"/>
        </w:rPr>
        <w:t xml:space="preserve">depends on </w:t>
      </w:r>
      <w:r w:rsidRPr="0037456B">
        <w:rPr>
          <w:rFonts w:ascii="Times New Roman" w:hAnsi="Times New Roman"/>
          <w:sz w:val="20"/>
          <w:szCs w:val="20"/>
        </w:rPr>
        <w:t>IAB</w:t>
      </w:r>
      <w:r>
        <w:rPr>
          <w:rFonts w:ascii="Times New Roman" w:hAnsi="Times New Roman"/>
          <w:sz w:val="20"/>
          <w:szCs w:val="20"/>
        </w:rPr>
        <w:t xml:space="preserve"> internal architecture and depends on RF </w:t>
      </w:r>
      <w:proofErr w:type="spellStart"/>
      <w:r>
        <w:rPr>
          <w:rFonts w:ascii="Times New Roman" w:hAnsi="Times New Roman"/>
          <w:sz w:val="20"/>
          <w:szCs w:val="20"/>
        </w:rPr>
        <w:t>impairements</w:t>
      </w:r>
      <w:proofErr w:type="spellEnd"/>
      <w:r>
        <w:rPr>
          <w:rFonts w:ascii="Times New Roman" w:hAnsi="Times New Roman"/>
          <w:sz w:val="20"/>
          <w:szCs w:val="20"/>
        </w:rPr>
        <w:t xml:space="preserve"> inside the IAB. These issues are outside the scope of RRM.</w:t>
      </w:r>
    </w:p>
    <w:p w14:paraId="3CE19555" w14:textId="7A847A7D" w:rsidR="00D44E67" w:rsidRPr="00E87A28" w:rsidRDefault="0051325E" w:rsidP="00E87A2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>Proposal #</w:t>
      </w:r>
      <w:r w:rsidR="0026784B">
        <w:rPr>
          <w:rFonts w:ascii="Times New Roman" w:hAnsi="Times New Roman"/>
          <w:b/>
          <w:bCs/>
          <w:sz w:val="20"/>
          <w:szCs w:val="20"/>
        </w:rPr>
        <w:t>3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761035">
        <w:rPr>
          <w:rFonts w:ascii="Times New Roman" w:hAnsi="Times New Roman"/>
          <w:sz w:val="20"/>
          <w:szCs w:val="20"/>
        </w:rPr>
        <w:t xml:space="preserve">No RRM requirements are needed for Case </w:t>
      </w:r>
      <w:r w:rsidR="000228D7">
        <w:rPr>
          <w:rFonts w:ascii="Times New Roman" w:hAnsi="Times New Roman"/>
          <w:sz w:val="20"/>
          <w:szCs w:val="20"/>
        </w:rPr>
        <w:t xml:space="preserve"># </w:t>
      </w:r>
      <w:r w:rsidR="00761035">
        <w:rPr>
          <w:rFonts w:ascii="Times New Roman" w:hAnsi="Times New Roman"/>
          <w:sz w:val="20"/>
          <w:szCs w:val="20"/>
        </w:rPr>
        <w:t>6 timing</w:t>
      </w:r>
      <w:r w:rsidR="0026784B">
        <w:rPr>
          <w:rFonts w:ascii="Times New Roman" w:hAnsi="Times New Roman"/>
          <w:sz w:val="20"/>
          <w:szCs w:val="20"/>
        </w:rPr>
        <w:t xml:space="preserve"> procedure</w:t>
      </w:r>
      <w:r w:rsidRPr="00171316">
        <w:rPr>
          <w:rFonts w:ascii="Times New Roman" w:hAnsi="Times New Roman"/>
          <w:sz w:val="20"/>
          <w:szCs w:val="20"/>
        </w:rPr>
        <w:t xml:space="preserve">. </w:t>
      </w:r>
    </w:p>
    <w:p w14:paraId="72F2FB09" w14:textId="4A37D6F0" w:rsidR="00171316" w:rsidRPr="00171316" w:rsidRDefault="00171316" w:rsidP="00171316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CLI for IAB</w:t>
      </w:r>
      <w:r w:rsidRPr="00171316">
        <w:rPr>
          <w:b/>
          <w:bCs/>
          <w:sz w:val="20"/>
          <w:szCs w:val="20"/>
          <w:u w:val="single"/>
        </w:rPr>
        <w:t>:</w:t>
      </w:r>
    </w:p>
    <w:p w14:paraId="6E95858C" w14:textId="30553F70" w:rsidR="00171316" w:rsidRDefault="00171316" w:rsidP="0017131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E87A28">
        <w:rPr>
          <w:rFonts w:ascii="Times New Roman" w:hAnsi="Times New Roman"/>
          <w:b/>
          <w:bCs/>
          <w:sz w:val="20"/>
          <w:szCs w:val="20"/>
        </w:rPr>
        <w:t>7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According to</w:t>
      </w:r>
      <w:r w:rsidRPr="00171316">
        <w:t xml:space="preserve"> </w:t>
      </w:r>
      <w:r w:rsidRPr="00171316">
        <w:rPr>
          <w:rFonts w:ascii="Times New Roman" w:hAnsi="Times New Roman"/>
          <w:sz w:val="20"/>
          <w:szCs w:val="20"/>
        </w:rPr>
        <w:t xml:space="preserve">RAN1 </w:t>
      </w:r>
      <w:r w:rsidR="0083019C">
        <w:rPr>
          <w:rFonts w:ascii="Times New Roman" w:hAnsi="Times New Roman"/>
          <w:sz w:val="20"/>
          <w:szCs w:val="20"/>
        </w:rPr>
        <w:t>approved IAB CR</w:t>
      </w:r>
      <w:r w:rsidRPr="00171316">
        <w:rPr>
          <w:rFonts w:ascii="Times New Roman" w:hAnsi="Times New Roman"/>
          <w:sz w:val="20"/>
          <w:szCs w:val="20"/>
        </w:rPr>
        <w:t xml:space="preserve">, </w:t>
      </w:r>
      <w:r w:rsidR="0083019C">
        <w:rPr>
          <w:rFonts w:ascii="Times New Roman" w:hAnsi="Times New Roman"/>
          <w:sz w:val="20"/>
          <w:szCs w:val="20"/>
        </w:rPr>
        <w:t xml:space="preserve">there is no new IAB specific </w:t>
      </w:r>
      <w:r w:rsidRPr="00171316">
        <w:rPr>
          <w:rFonts w:ascii="Times New Roman" w:hAnsi="Times New Roman"/>
          <w:sz w:val="20"/>
          <w:szCs w:val="20"/>
        </w:rPr>
        <w:t xml:space="preserve">CLI </w:t>
      </w:r>
      <w:r w:rsidR="0083019C">
        <w:rPr>
          <w:rFonts w:ascii="Times New Roman" w:hAnsi="Times New Roman"/>
          <w:sz w:val="20"/>
          <w:szCs w:val="20"/>
        </w:rPr>
        <w:t>procedure</w:t>
      </w:r>
      <w:r w:rsidRPr="00171316">
        <w:rPr>
          <w:rFonts w:ascii="Times New Roman" w:hAnsi="Times New Roman"/>
          <w:sz w:val="20"/>
          <w:szCs w:val="20"/>
        </w:rPr>
        <w:t xml:space="preserve"> for IAB is based on existing Rel-16 CLI solutions for UE.</w:t>
      </w:r>
    </w:p>
    <w:p w14:paraId="22EDB255" w14:textId="1EDC3CD6" w:rsidR="0083019C" w:rsidRDefault="0083019C" w:rsidP="001A7FA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E87A28">
        <w:rPr>
          <w:rFonts w:ascii="Times New Roman" w:hAnsi="Times New Roman"/>
          <w:b/>
          <w:bCs/>
          <w:sz w:val="20"/>
          <w:szCs w:val="20"/>
        </w:rPr>
        <w:t>8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It is expected that RAN2</w:t>
      </w:r>
      <w:r w:rsidR="00570256">
        <w:rPr>
          <w:rFonts w:ascii="Times New Roman" w:hAnsi="Times New Roman"/>
          <w:sz w:val="20"/>
          <w:szCs w:val="20"/>
        </w:rPr>
        <w:t>/RAN3</w:t>
      </w:r>
      <w:r>
        <w:rPr>
          <w:rFonts w:ascii="Times New Roman" w:hAnsi="Times New Roman"/>
          <w:sz w:val="20"/>
          <w:szCs w:val="20"/>
        </w:rPr>
        <w:t xml:space="preserve"> signaling </w:t>
      </w:r>
      <w:r w:rsidR="001A7FAB">
        <w:rPr>
          <w:rFonts w:ascii="Times New Roman" w:hAnsi="Times New Roman"/>
          <w:sz w:val="20"/>
          <w:szCs w:val="20"/>
        </w:rPr>
        <w:t>for CLI</w:t>
      </w:r>
      <w:r w:rsidRPr="00171316">
        <w:rPr>
          <w:rFonts w:ascii="Times New Roman" w:hAnsi="Times New Roman"/>
          <w:sz w:val="20"/>
          <w:szCs w:val="20"/>
        </w:rPr>
        <w:t xml:space="preserve"> for IAB </w:t>
      </w:r>
      <w:r>
        <w:rPr>
          <w:rFonts w:ascii="Times New Roman" w:hAnsi="Times New Roman"/>
          <w:sz w:val="20"/>
          <w:szCs w:val="20"/>
        </w:rPr>
        <w:t>will be based on the</w:t>
      </w:r>
      <w:r w:rsidRPr="00171316">
        <w:rPr>
          <w:rFonts w:ascii="Times New Roman" w:hAnsi="Times New Roman"/>
          <w:sz w:val="20"/>
          <w:szCs w:val="20"/>
        </w:rPr>
        <w:t xml:space="preserve"> existing Rel-16 CLI solutions for UE.</w:t>
      </w:r>
    </w:p>
    <w:p w14:paraId="567011C4" w14:textId="009A18EB" w:rsidR="001A7FAB" w:rsidRPr="001A7FAB" w:rsidRDefault="001A7FAB" w:rsidP="001A7FA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E87A28">
        <w:rPr>
          <w:rFonts w:ascii="Times New Roman" w:hAnsi="Times New Roman"/>
          <w:b/>
          <w:bCs/>
          <w:sz w:val="20"/>
          <w:szCs w:val="20"/>
        </w:rPr>
        <w:t>9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Pr="001A7FAB">
        <w:rPr>
          <w:rFonts w:ascii="Times New Roman" w:hAnsi="Times New Roman"/>
          <w:sz w:val="20"/>
          <w:szCs w:val="20"/>
        </w:rPr>
        <w:t>Unlike, the UE, which moves around, the IAB is fixed node. The</w:t>
      </w:r>
      <w:r>
        <w:rPr>
          <w:rFonts w:ascii="Times New Roman" w:hAnsi="Times New Roman"/>
          <w:sz w:val="20"/>
          <w:szCs w:val="20"/>
        </w:rPr>
        <w:t xml:space="preserve">refore, the </w:t>
      </w:r>
      <w:r w:rsidRPr="001A7FAB">
        <w:rPr>
          <w:rFonts w:ascii="Times New Roman" w:hAnsi="Times New Roman"/>
          <w:sz w:val="20"/>
          <w:szCs w:val="20"/>
        </w:rPr>
        <w:t xml:space="preserve">need for CLI requirements </w:t>
      </w:r>
      <w:r>
        <w:rPr>
          <w:rFonts w:ascii="Times New Roman" w:hAnsi="Times New Roman"/>
          <w:sz w:val="20"/>
          <w:szCs w:val="20"/>
        </w:rPr>
        <w:t xml:space="preserve">(if CLI is needed) </w:t>
      </w:r>
      <w:r w:rsidRPr="001A7FAB">
        <w:rPr>
          <w:rFonts w:ascii="Times New Roman" w:hAnsi="Times New Roman"/>
          <w:sz w:val="20"/>
          <w:szCs w:val="20"/>
        </w:rPr>
        <w:t>will depend on the actual deployment scenario.</w:t>
      </w:r>
    </w:p>
    <w:p w14:paraId="1A546ABC" w14:textId="3F4C5AA1" w:rsidR="00816B96" w:rsidRPr="00816B96" w:rsidRDefault="00816B96" w:rsidP="00816B9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E87A28">
        <w:rPr>
          <w:rFonts w:ascii="Times New Roman" w:hAnsi="Times New Roman"/>
          <w:b/>
          <w:bCs/>
          <w:sz w:val="20"/>
          <w:szCs w:val="20"/>
        </w:rPr>
        <w:t>10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RAN4 concluded in Rel-16 not to define RRM </w:t>
      </w:r>
      <w:r w:rsidR="001A7FAB">
        <w:rPr>
          <w:rFonts w:ascii="Times New Roman" w:hAnsi="Times New Roman"/>
          <w:sz w:val="20"/>
          <w:szCs w:val="20"/>
        </w:rPr>
        <w:t xml:space="preserve">measurement </w:t>
      </w:r>
      <w:r>
        <w:rPr>
          <w:rFonts w:ascii="Times New Roman" w:hAnsi="Times New Roman"/>
          <w:sz w:val="20"/>
          <w:szCs w:val="20"/>
        </w:rPr>
        <w:t xml:space="preserve">requirements for IAB-MT </w:t>
      </w:r>
      <w:r w:rsidR="00C0688B">
        <w:rPr>
          <w:rFonts w:ascii="Times New Roman" w:hAnsi="Times New Roman"/>
          <w:sz w:val="20"/>
          <w:szCs w:val="20"/>
        </w:rPr>
        <w:t xml:space="preserve">to prevent any </w:t>
      </w:r>
      <w:r>
        <w:rPr>
          <w:rFonts w:ascii="Times New Roman" w:hAnsi="Times New Roman"/>
          <w:sz w:val="20"/>
          <w:szCs w:val="20"/>
        </w:rPr>
        <w:t>implementation</w:t>
      </w:r>
      <w:r w:rsidR="001A7FAB">
        <w:rPr>
          <w:rFonts w:ascii="Times New Roman" w:hAnsi="Times New Roman"/>
          <w:sz w:val="20"/>
          <w:szCs w:val="20"/>
        </w:rPr>
        <w:t xml:space="preserve"> </w:t>
      </w:r>
      <w:r w:rsidR="00C0688B">
        <w:rPr>
          <w:rFonts w:ascii="Times New Roman" w:hAnsi="Times New Roman"/>
          <w:sz w:val="20"/>
          <w:szCs w:val="20"/>
        </w:rPr>
        <w:t>limitation</w:t>
      </w:r>
      <w:r w:rsidRPr="00171316">
        <w:rPr>
          <w:rFonts w:ascii="Times New Roman" w:hAnsi="Times New Roman"/>
          <w:sz w:val="20"/>
          <w:szCs w:val="20"/>
        </w:rPr>
        <w:t>.</w:t>
      </w:r>
    </w:p>
    <w:p w14:paraId="38A8F316" w14:textId="24F2F418" w:rsidR="008306B4" w:rsidRPr="00E87A28" w:rsidRDefault="00171316" w:rsidP="00E87A2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171316">
        <w:rPr>
          <w:rFonts w:ascii="Times New Roman" w:hAnsi="Times New Roman"/>
          <w:b/>
          <w:bCs/>
          <w:sz w:val="20"/>
          <w:szCs w:val="20"/>
        </w:rPr>
        <w:t>Proposal #</w:t>
      </w:r>
      <w:r w:rsidR="00E87A28">
        <w:rPr>
          <w:rFonts w:ascii="Times New Roman" w:hAnsi="Times New Roman"/>
          <w:b/>
          <w:bCs/>
          <w:sz w:val="20"/>
          <w:szCs w:val="20"/>
        </w:rPr>
        <w:t>4</w:t>
      </w:r>
      <w:r w:rsidRPr="00171316">
        <w:rPr>
          <w:rFonts w:ascii="Times New Roman" w:hAnsi="Times New Roman"/>
          <w:sz w:val="20"/>
          <w:szCs w:val="20"/>
        </w:rPr>
        <w:t xml:space="preserve">: </w:t>
      </w:r>
      <w:r w:rsidR="00F15E46">
        <w:rPr>
          <w:rFonts w:ascii="Times New Roman" w:hAnsi="Times New Roman"/>
          <w:sz w:val="20"/>
          <w:szCs w:val="20"/>
        </w:rPr>
        <w:t xml:space="preserve">For CLI measurements by IAB-MT, no RRM requirements </w:t>
      </w:r>
      <w:r w:rsidR="004C4505">
        <w:rPr>
          <w:rFonts w:ascii="Times New Roman" w:hAnsi="Times New Roman"/>
          <w:sz w:val="20"/>
          <w:szCs w:val="20"/>
        </w:rPr>
        <w:t xml:space="preserve">need to be </w:t>
      </w:r>
      <w:r w:rsidR="00F15E46">
        <w:rPr>
          <w:rFonts w:ascii="Times New Roman" w:hAnsi="Times New Roman"/>
          <w:sz w:val="20"/>
          <w:szCs w:val="20"/>
        </w:rPr>
        <w:t>specified</w:t>
      </w:r>
      <w:r w:rsidRPr="00171316">
        <w:rPr>
          <w:rFonts w:ascii="Times New Roman" w:hAnsi="Times New Roman"/>
          <w:sz w:val="20"/>
          <w:szCs w:val="20"/>
        </w:rPr>
        <w:t xml:space="preserve">. </w:t>
      </w:r>
    </w:p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156F80C5" w14:textId="71CA6894" w:rsidR="007C7F17" w:rsidRDefault="00666678" w:rsidP="00770B2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666678">
        <w:rPr>
          <w:rFonts w:ascii="Times New Roman" w:hAnsi="Times New Roman"/>
          <w:sz w:val="18"/>
          <w:szCs w:val="18"/>
          <w:lang w:val="en-GB"/>
        </w:rPr>
        <w:t>R4-2120319</w:t>
      </w:r>
      <w:r w:rsidR="007C7F17" w:rsidRPr="007C7F17">
        <w:rPr>
          <w:rFonts w:ascii="Times New Roman" w:hAnsi="Times New Roman"/>
          <w:sz w:val="18"/>
          <w:szCs w:val="18"/>
        </w:rPr>
        <w:t xml:space="preserve">, </w:t>
      </w:r>
      <w:r w:rsidR="00590FF2" w:rsidRPr="00590FF2">
        <w:rPr>
          <w:rFonts w:ascii="Times New Roman" w:hAnsi="Times New Roman"/>
          <w:sz w:val="18"/>
          <w:szCs w:val="18"/>
          <w:lang w:val="en-GB"/>
        </w:rPr>
        <w:t xml:space="preserve">WF on </w:t>
      </w:r>
      <w:r w:rsidR="00445B0A" w:rsidRPr="00445B0A">
        <w:rPr>
          <w:rFonts w:ascii="Times New Roman" w:hAnsi="Times New Roman"/>
          <w:sz w:val="18"/>
          <w:szCs w:val="18"/>
          <w:lang w:val="en-GB"/>
        </w:rPr>
        <w:t>RRM aspects of IAB enhancement</w:t>
      </w:r>
      <w:r w:rsidR="007C7F17">
        <w:rPr>
          <w:rFonts w:ascii="Times New Roman" w:hAnsi="Times New Roman"/>
          <w:sz w:val="18"/>
          <w:szCs w:val="18"/>
        </w:rPr>
        <w:t>,</w:t>
      </w:r>
      <w:r w:rsidR="00590FF2">
        <w:rPr>
          <w:rFonts w:ascii="Times New Roman" w:hAnsi="Times New Roman"/>
          <w:sz w:val="18"/>
          <w:szCs w:val="18"/>
        </w:rPr>
        <w:t xml:space="preserve"> ZTE</w:t>
      </w:r>
      <w:r w:rsidR="00DE6850">
        <w:rPr>
          <w:rFonts w:ascii="Times New Roman" w:hAnsi="Times New Roman"/>
          <w:sz w:val="18"/>
          <w:szCs w:val="18"/>
        </w:rPr>
        <w:t>.</w:t>
      </w:r>
    </w:p>
    <w:p w14:paraId="5873E9E4" w14:textId="7CBA4439" w:rsidR="002F1932" w:rsidRDefault="00EA70F9" w:rsidP="00001C47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EA70F9">
        <w:rPr>
          <w:rFonts w:ascii="Times New Roman" w:hAnsi="Times New Roman"/>
          <w:sz w:val="18"/>
          <w:szCs w:val="18"/>
        </w:rPr>
        <w:t>RP‑212977</w:t>
      </w:r>
      <w:r>
        <w:rPr>
          <w:rFonts w:ascii="Times New Roman" w:hAnsi="Times New Roman"/>
          <w:sz w:val="18"/>
          <w:szCs w:val="18"/>
        </w:rPr>
        <w:t xml:space="preserve">, </w:t>
      </w:r>
      <w:r w:rsidRPr="00EA70F9">
        <w:rPr>
          <w:rFonts w:ascii="Times New Roman" w:hAnsi="Times New Roman"/>
          <w:sz w:val="18"/>
          <w:szCs w:val="18"/>
        </w:rPr>
        <w:t xml:space="preserve">Introduction of R17 </w:t>
      </w:r>
      <w:proofErr w:type="spellStart"/>
      <w:r w:rsidRPr="00EA70F9">
        <w:rPr>
          <w:rFonts w:ascii="Times New Roman" w:hAnsi="Times New Roman"/>
          <w:sz w:val="18"/>
          <w:szCs w:val="18"/>
        </w:rPr>
        <w:t>eIAB</w:t>
      </w:r>
      <w:proofErr w:type="spellEnd"/>
      <w:r w:rsidR="00001C47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>RAN1 approved CR</w:t>
      </w:r>
    </w:p>
    <w:p w14:paraId="10D82FC7" w14:textId="37D3C621" w:rsidR="00D70724" w:rsidRPr="00D70724" w:rsidRDefault="00D70724" w:rsidP="00D70724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A51465">
        <w:rPr>
          <w:rFonts w:ascii="Times New Roman" w:hAnsi="Times New Roman"/>
          <w:sz w:val="18"/>
          <w:szCs w:val="18"/>
        </w:rPr>
        <w:t>R4-2</w:t>
      </w:r>
      <w:r w:rsidR="009C07D1">
        <w:rPr>
          <w:rFonts w:ascii="Times New Roman" w:hAnsi="Times New Roman"/>
          <w:sz w:val="18"/>
          <w:szCs w:val="18"/>
        </w:rPr>
        <w:t>2000xx</w:t>
      </w:r>
      <w:r>
        <w:rPr>
          <w:rFonts w:ascii="Times New Roman" w:hAnsi="Times New Roman"/>
          <w:sz w:val="18"/>
          <w:szCs w:val="18"/>
        </w:rPr>
        <w:t xml:space="preserve">, </w:t>
      </w:r>
      <w:r w:rsidR="00A2242C" w:rsidRPr="00A2242C">
        <w:rPr>
          <w:rFonts w:ascii="Times New Roman" w:hAnsi="Times New Roman"/>
          <w:sz w:val="18"/>
          <w:szCs w:val="18"/>
        </w:rPr>
        <w:t>IAB MT /DU Case-6 timing</w:t>
      </w:r>
      <w:r>
        <w:rPr>
          <w:rFonts w:ascii="Times New Roman" w:hAnsi="Times New Roman"/>
          <w:sz w:val="18"/>
          <w:szCs w:val="18"/>
        </w:rPr>
        <w:t>, Ericsson.</w:t>
      </w:r>
    </w:p>
    <w:bookmarkEnd w:id="1"/>
    <w:bookmarkEnd w:id="2"/>
    <w:p w14:paraId="6CDB067D" w14:textId="77777777" w:rsidR="00EB2DE7" w:rsidRPr="00D83109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</w:p>
    <w:sectPr w:rsidR="00EB2DE7" w:rsidRPr="00D83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40B"/>
    <w:multiLevelType w:val="hybridMultilevel"/>
    <w:tmpl w:val="57189C6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5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E5548B"/>
    <w:multiLevelType w:val="multilevel"/>
    <w:tmpl w:val="5030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A52742"/>
    <w:multiLevelType w:val="multilevel"/>
    <w:tmpl w:val="96CE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9" w15:restartNumberingAfterBreak="0">
    <w:nsid w:val="35605F5F"/>
    <w:multiLevelType w:val="hybridMultilevel"/>
    <w:tmpl w:val="36FE1A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C57EA3"/>
    <w:multiLevelType w:val="hybridMultilevel"/>
    <w:tmpl w:val="2E0AB34C"/>
    <w:lvl w:ilvl="0" w:tplc="1ABAAE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16231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AE2B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D26D2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0A55A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F459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2C0D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A0FA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EE11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84327F"/>
    <w:multiLevelType w:val="multilevel"/>
    <w:tmpl w:val="0436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AA1F02"/>
    <w:multiLevelType w:val="hybridMultilevel"/>
    <w:tmpl w:val="A34ACA4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4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8"/>
  </w:num>
  <w:num w:numId="3">
    <w:abstractNumId w:val="44"/>
  </w:num>
  <w:num w:numId="4">
    <w:abstractNumId w:val="3"/>
  </w:num>
  <w:num w:numId="5">
    <w:abstractNumId w:val="21"/>
  </w:num>
  <w:num w:numId="6">
    <w:abstractNumId w:val="43"/>
  </w:num>
  <w:num w:numId="7">
    <w:abstractNumId w:val="36"/>
  </w:num>
  <w:num w:numId="8">
    <w:abstractNumId w:val="32"/>
  </w:num>
  <w:num w:numId="9">
    <w:abstractNumId w:val="7"/>
  </w:num>
  <w:num w:numId="10">
    <w:abstractNumId w:val="18"/>
  </w:num>
  <w:num w:numId="11">
    <w:abstractNumId w:val="11"/>
  </w:num>
  <w:num w:numId="12">
    <w:abstractNumId w:val="14"/>
  </w:num>
  <w:num w:numId="13">
    <w:abstractNumId w:val="15"/>
  </w:num>
  <w:num w:numId="14">
    <w:abstractNumId w:val="5"/>
  </w:num>
  <w:num w:numId="15">
    <w:abstractNumId w:val="4"/>
  </w:num>
  <w:num w:numId="16">
    <w:abstractNumId w:val="34"/>
  </w:num>
  <w:num w:numId="17">
    <w:abstractNumId w:val="13"/>
  </w:num>
  <w:num w:numId="18">
    <w:abstractNumId w:val="42"/>
  </w:num>
  <w:num w:numId="19">
    <w:abstractNumId w:val="28"/>
  </w:num>
  <w:num w:numId="20">
    <w:abstractNumId w:val="26"/>
  </w:num>
  <w:num w:numId="21">
    <w:abstractNumId w:val="24"/>
  </w:num>
  <w:num w:numId="22">
    <w:abstractNumId w:val="30"/>
  </w:num>
  <w:num w:numId="23">
    <w:abstractNumId w:val="17"/>
  </w:num>
  <w:num w:numId="24">
    <w:abstractNumId w:val="38"/>
  </w:num>
  <w:num w:numId="25">
    <w:abstractNumId w:val="12"/>
  </w:num>
  <w:num w:numId="26">
    <w:abstractNumId w:val="33"/>
  </w:num>
  <w:num w:numId="27">
    <w:abstractNumId w:val="0"/>
  </w:num>
  <w:num w:numId="28">
    <w:abstractNumId w:val="39"/>
  </w:num>
  <w:num w:numId="29">
    <w:abstractNumId w:val="20"/>
  </w:num>
  <w:num w:numId="30">
    <w:abstractNumId w:val="22"/>
  </w:num>
  <w:num w:numId="31">
    <w:abstractNumId w:val="35"/>
  </w:num>
  <w:num w:numId="32">
    <w:abstractNumId w:val="27"/>
  </w:num>
  <w:num w:numId="33">
    <w:abstractNumId w:val="6"/>
  </w:num>
  <w:num w:numId="34">
    <w:abstractNumId w:val="1"/>
  </w:num>
  <w:num w:numId="35">
    <w:abstractNumId w:val="16"/>
  </w:num>
  <w:num w:numId="36">
    <w:abstractNumId w:val="37"/>
  </w:num>
  <w:num w:numId="37">
    <w:abstractNumId w:val="40"/>
  </w:num>
  <w:num w:numId="38">
    <w:abstractNumId w:val="9"/>
  </w:num>
  <w:num w:numId="39">
    <w:abstractNumId w:val="23"/>
  </w:num>
  <w:num w:numId="40">
    <w:abstractNumId w:val="25"/>
  </w:num>
  <w:num w:numId="41">
    <w:abstractNumId w:val="10"/>
  </w:num>
  <w:num w:numId="42">
    <w:abstractNumId w:val="31"/>
  </w:num>
  <w:num w:numId="43">
    <w:abstractNumId w:val="19"/>
  </w:num>
  <w:num w:numId="44">
    <w:abstractNumId w:val="29"/>
  </w:num>
  <w:num w:numId="4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4B5"/>
    <w:rsid w:val="00236799"/>
    <w:rsid w:val="002376D0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1F50"/>
    <w:rsid w:val="005620D7"/>
    <w:rsid w:val="00562843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3CD"/>
    <w:rsid w:val="00890D1B"/>
    <w:rsid w:val="00891363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14E1"/>
    <w:rsid w:val="00912803"/>
    <w:rsid w:val="0091390D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6B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7FE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5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9BADC-2879-4F4A-81EC-894232E2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1224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238</cp:revision>
  <cp:lastPrinted>1899-12-31T23:00:00Z</cp:lastPrinted>
  <dcterms:created xsi:type="dcterms:W3CDTF">2021-08-04T12:22:00Z</dcterms:created>
  <dcterms:modified xsi:type="dcterms:W3CDTF">2022-01-10T22:55:00Z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